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3CE2" w14:textId="77777777" w:rsidR="007D39AC" w:rsidRPr="00597458" w:rsidRDefault="007D39AC" w:rsidP="007D39A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000000"/>
          <w:kern w:val="1"/>
        </w:rPr>
      </w:pPr>
    </w:p>
    <w:p w14:paraId="5A995DB2" w14:textId="57B64FE8" w:rsidR="00172315" w:rsidRPr="009525A9" w:rsidRDefault="00172315" w:rsidP="00172315">
      <w:pPr>
        <w:jc w:val="center"/>
        <w:rPr>
          <w:rFonts w:ascii="Arial" w:hAnsi="Arial" w:cs="Arial"/>
          <w:b/>
        </w:rPr>
      </w:pPr>
      <w:r w:rsidRPr="009525A9">
        <w:rPr>
          <w:rFonts w:ascii="Arial" w:hAnsi="Arial" w:cs="Arial"/>
          <w:b/>
        </w:rPr>
        <w:t xml:space="preserve">ACTA N° </w:t>
      </w:r>
    </w:p>
    <w:p w14:paraId="0AE8E81A" w14:textId="77777777" w:rsidR="00172315" w:rsidRPr="009525A9" w:rsidRDefault="00172315" w:rsidP="00172315">
      <w:pPr>
        <w:jc w:val="center"/>
        <w:rPr>
          <w:rFonts w:ascii="Arial" w:hAnsi="Arial" w:cs="Arial"/>
        </w:rPr>
      </w:pPr>
    </w:p>
    <w:p w14:paraId="241CD2D6" w14:textId="0D28223E" w:rsidR="00172315" w:rsidRPr="00EC186C" w:rsidRDefault="00172315" w:rsidP="00172315">
      <w:pPr>
        <w:jc w:val="both"/>
        <w:rPr>
          <w:rFonts w:ascii="Arial" w:hAnsi="Arial" w:cs="Arial"/>
        </w:rPr>
      </w:pPr>
      <w:r w:rsidRPr="00EC186C">
        <w:rPr>
          <w:rFonts w:ascii="Arial" w:hAnsi="Arial" w:cs="Arial"/>
        </w:rPr>
        <w:t xml:space="preserve">FECHA: </w:t>
      </w:r>
      <w:r w:rsidRPr="00EC186C">
        <w:rPr>
          <w:rFonts w:ascii="Arial" w:hAnsi="Arial" w:cs="Arial"/>
        </w:rPr>
        <w:tab/>
        <w:t xml:space="preserve">Bogotá, </w:t>
      </w:r>
      <w:r w:rsidR="00EC186C" w:rsidRPr="00EC186C">
        <w:rPr>
          <w:rFonts w:ascii="Arial" w:hAnsi="Arial" w:cs="Arial"/>
        </w:rPr>
        <w:t>febrero 09 de 2021</w:t>
      </w:r>
      <w:r w:rsidRPr="00EC186C">
        <w:rPr>
          <w:rFonts w:ascii="Arial" w:hAnsi="Arial" w:cs="Arial"/>
        </w:rPr>
        <w:t>.</w:t>
      </w:r>
    </w:p>
    <w:p w14:paraId="00D127B9" w14:textId="77777777" w:rsidR="00172315" w:rsidRPr="009525A9" w:rsidRDefault="00172315" w:rsidP="00172315">
      <w:pPr>
        <w:jc w:val="both"/>
        <w:rPr>
          <w:rFonts w:ascii="Arial" w:hAnsi="Arial" w:cs="Arial"/>
        </w:rPr>
      </w:pPr>
    </w:p>
    <w:p w14:paraId="72ED9EB9" w14:textId="7542F8AE" w:rsidR="00172315" w:rsidRPr="00EC186C" w:rsidRDefault="00172315" w:rsidP="00172315">
      <w:pPr>
        <w:jc w:val="both"/>
        <w:rPr>
          <w:rFonts w:ascii="Arial" w:hAnsi="Arial" w:cs="Arial"/>
        </w:rPr>
      </w:pPr>
      <w:r w:rsidRPr="00EC186C">
        <w:rPr>
          <w:rFonts w:ascii="Arial" w:hAnsi="Arial" w:cs="Arial"/>
        </w:rPr>
        <w:t xml:space="preserve">HORA: </w:t>
      </w:r>
      <w:r w:rsidRPr="00EC186C">
        <w:rPr>
          <w:rFonts w:ascii="Arial" w:hAnsi="Arial" w:cs="Arial"/>
        </w:rPr>
        <w:tab/>
      </w:r>
      <w:r w:rsidR="00EC186C" w:rsidRPr="00EC186C">
        <w:rPr>
          <w:rFonts w:ascii="Arial" w:hAnsi="Arial" w:cs="Arial"/>
        </w:rPr>
        <w:t>4:00 p.m</w:t>
      </w:r>
      <w:r w:rsidRPr="00EC186C">
        <w:rPr>
          <w:rFonts w:ascii="Arial" w:hAnsi="Arial" w:cs="Arial"/>
        </w:rPr>
        <w:t>.</w:t>
      </w:r>
    </w:p>
    <w:p w14:paraId="20EF1A18" w14:textId="77777777" w:rsidR="00172315" w:rsidRPr="009525A9" w:rsidRDefault="00172315" w:rsidP="00172315">
      <w:pPr>
        <w:jc w:val="both"/>
        <w:rPr>
          <w:rFonts w:ascii="Arial" w:hAnsi="Arial" w:cs="Arial"/>
        </w:rPr>
      </w:pPr>
    </w:p>
    <w:p w14:paraId="0FC8C58A" w14:textId="3EA7331C" w:rsidR="00172315" w:rsidRPr="00EC186C" w:rsidRDefault="00172315" w:rsidP="00172315">
      <w:pPr>
        <w:jc w:val="both"/>
        <w:rPr>
          <w:rFonts w:ascii="Arial" w:hAnsi="Arial" w:cs="Arial"/>
        </w:rPr>
      </w:pPr>
      <w:r w:rsidRPr="00EC186C">
        <w:rPr>
          <w:rFonts w:ascii="Arial" w:hAnsi="Arial" w:cs="Arial"/>
        </w:rPr>
        <w:t xml:space="preserve">LUGAR: </w:t>
      </w:r>
      <w:r w:rsidRPr="00EC186C">
        <w:rPr>
          <w:rFonts w:ascii="Arial" w:hAnsi="Arial" w:cs="Arial"/>
        </w:rPr>
        <w:tab/>
        <w:t xml:space="preserve">Sala de juntas </w:t>
      </w:r>
      <w:r w:rsidR="00EC186C" w:rsidRPr="00EC186C">
        <w:rPr>
          <w:rFonts w:ascii="Arial" w:hAnsi="Arial" w:cs="Arial"/>
        </w:rPr>
        <w:t>Subdirección Local de Tunjuelito</w:t>
      </w:r>
    </w:p>
    <w:p w14:paraId="244F092A" w14:textId="77777777" w:rsidR="00172315" w:rsidRDefault="00172315" w:rsidP="00172315">
      <w:pPr>
        <w:jc w:val="both"/>
        <w:rPr>
          <w:rFonts w:ascii="Arial" w:hAnsi="Arial" w:cs="Arial"/>
          <w:color w:val="2E74B5"/>
        </w:rPr>
      </w:pPr>
    </w:p>
    <w:p w14:paraId="071F556C" w14:textId="3DBA6E37" w:rsidR="00172315" w:rsidRPr="00035B70" w:rsidRDefault="00172315" w:rsidP="00172315">
      <w:pPr>
        <w:jc w:val="both"/>
        <w:rPr>
          <w:rFonts w:ascii="Arial" w:hAnsi="Arial" w:cs="Arial"/>
          <w:color w:val="2E74B5"/>
        </w:rPr>
      </w:pPr>
      <w:r w:rsidRPr="00035B70">
        <w:rPr>
          <w:rFonts w:ascii="Arial" w:hAnsi="Arial" w:cs="Arial"/>
        </w:rPr>
        <w:t>TEMA:</w:t>
      </w:r>
      <w:r>
        <w:rPr>
          <w:rFonts w:ascii="Arial" w:hAnsi="Arial" w:cs="Arial"/>
        </w:rPr>
        <w:tab/>
      </w:r>
      <w:r w:rsidR="00863A76">
        <w:rPr>
          <w:rFonts w:ascii="Arial" w:hAnsi="Arial" w:cs="Arial"/>
        </w:rPr>
        <w:t>Claridad acerca de la continuidad de los Comedores y la apertura de las Cocinas populares.</w:t>
      </w:r>
      <w:r>
        <w:rPr>
          <w:rFonts w:ascii="Arial" w:hAnsi="Arial" w:cs="Arial"/>
        </w:rPr>
        <w:tab/>
      </w:r>
    </w:p>
    <w:p w14:paraId="581CB672" w14:textId="77777777" w:rsidR="00172315" w:rsidRPr="00035B70" w:rsidRDefault="00172315" w:rsidP="00172315">
      <w:pPr>
        <w:jc w:val="both"/>
        <w:rPr>
          <w:rFonts w:ascii="Arial" w:hAnsi="Arial" w:cs="Arial"/>
          <w:color w:val="2E74B5"/>
        </w:rPr>
      </w:pPr>
    </w:p>
    <w:p w14:paraId="16E1CA45" w14:textId="661FE825" w:rsidR="00172315" w:rsidRPr="000D7DFB" w:rsidRDefault="00172315" w:rsidP="00172315">
      <w:pPr>
        <w:jc w:val="both"/>
        <w:rPr>
          <w:rFonts w:ascii="Arial" w:hAnsi="Arial" w:cs="Arial"/>
          <w:color w:val="2E74B5"/>
        </w:rPr>
      </w:pPr>
      <w:r w:rsidRPr="009525A9">
        <w:rPr>
          <w:rFonts w:ascii="Arial" w:hAnsi="Arial" w:cs="Arial"/>
        </w:rPr>
        <w:t xml:space="preserve">ASISTENTES: </w:t>
      </w:r>
      <w:r w:rsidR="00863A76">
        <w:rPr>
          <w:rFonts w:ascii="Arial" w:hAnsi="Arial" w:cs="Arial"/>
        </w:rPr>
        <w:t>P</w:t>
      </w:r>
      <w:r w:rsidR="00863A76" w:rsidRPr="00863A76">
        <w:rPr>
          <w:rFonts w:ascii="Arial" w:hAnsi="Arial" w:cs="Arial"/>
        </w:rPr>
        <w:t>lanilla de asistencia</w:t>
      </w:r>
    </w:p>
    <w:p w14:paraId="6F1967F8" w14:textId="77777777" w:rsidR="00172315" w:rsidRPr="009525A9" w:rsidRDefault="00172315" w:rsidP="00172315">
      <w:pPr>
        <w:jc w:val="both"/>
        <w:rPr>
          <w:rFonts w:ascii="Arial" w:hAnsi="Arial" w:cs="Arial"/>
        </w:rPr>
      </w:pPr>
    </w:p>
    <w:p w14:paraId="3CB68A0F" w14:textId="77777777" w:rsidR="00172315" w:rsidRPr="009525A9" w:rsidRDefault="00172315" w:rsidP="00172315">
      <w:pPr>
        <w:jc w:val="both"/>
        <w:rPr>
          <w:rFonts w:ascii="Arial" w:hAnsi="Arial" w:cs="Arial"/>
        </w:rPr>
      </w:pPr>
      <w:r w:rsidRPr="009525A9">
        <w:rPr>
          <w:rFonts w:ascii="Arial" w:hAnsi="Arial" w:cs="Arial"/>
        </w:rPr>
        <w:t>ORDEN DEL DÍA:</w:t>
      </w:r>
    </w:p>
    <w:p w14:paraId="41DB29C1" w14:textId="77777777" w:rsidR="00172315" w:rsidRPr="009525A9" w:rsidRDefault="00172315" w:rsidP="00172315">
      <w:pPr>
        <w:jc w:val="both"/>
        <w:rPr>
          <w:rFonts w:ascii="Arial" w:hAnsi="Arial" w:cs="Arial"/>
        </w:rPr>
      </w:pPr>
    </w:p>
    <w:p w14:paraId="0FDDB5D2" w14:textId="3D6C4710" w:rsidR="00172315" w:rsidRPr="00863A76" w:rsidRDefault="00172315" w:rsidP="00172315">
      <w:pPr>
        <w:jc w:val="both"/>
        <w:rPr>
          <w:rFonts w:ascii="Arial" w:hAnsi="Arial" w:cs="Arial"/>
        </w:rPr>
      </w:pPr>
      <w:r w:rsidRPr="00863A76">
        <w:rPr>
          <w:rFonts w:ascii="Arial" w:hAnsi="Arial" w:cs="Arial"/>
        </w:rPr>
        <w:t xml:space="preserve">1. </w:t>
      </w:r>
      <w:r w:rsidR="00863A76" w:rsidRPr="00863A76">
        <w:rPr>
          <w:rFonts w:ascii="Arial" w:hAnsi="Arial" w:cs="Arial"/>
        </w:rPr>
        <w:t>Reseña histórica abordaje de la seguridad alimentaria de la población.</w:t>
      </w:r>
    </w:p>
    <w:p w14:paraId="3DAF0868" w14:textId="54EBCC30" w:rsidR="00172315" w:rsidRPr="00863A76" w:rsidRDefault="00172315" w:rsidP="00172315">
      <w:pPr>
        <w:jc w:val="both"/>
        <w:rPr>
          <w:rFonts w:ascii="Arial" w:hAnsi="Arial" w:cs="Arial"/>
        </w:rPr>
      </w:pPr>
      <w:r w:rsidRPr="00863A76">
        <w:rPr>
          <w:rFonts w:ascii="Arial" w:hAnsi="Arial" w:cs="Arial"/>
        </w:rPr>
        <w:t xml:space="preserve">2. </w:t>
      </w:r>
      <w:r w:rsidR="00863A76" w:rsidRPr="00863A76">
        <w:rPr>
          <w:rFonts w:ascii="Arial" w:hAnsi="Arial" w:cs="Arial"/>
        </w:rPr>
        <w:t>continuidad comedores y apertura cocinas populares</w:t>
      </w:r>
    </w:p>
    <w:p w14:paraId="7C322DFD" w14:textId="77777777" w:rsidR="00172315" w:rsidRDefault="00172315" w:rsidP="00172315">
      <w:pPr>
        <w:jc w:val="both"/>
        <w:rPr>
          <w:rFonts w:ascii="Arial" w:hAnsi="Arial" w:cs="Arial"/>
        </w:rPr>
      </w:pPr>
    </w:p>
    <w:p w14:paraId="552D6CA1" w14:textId="4AAD4D41" w:rsidR="00623231" w:rsidRDefault="00172315" w:rsidP="00172315">
      <w:pPr>
        <w:jc w:val="both"/>
        <w:rPr>
          <w:rFonts w:ascii="Arial" w:hAnsi="Arial" w:cs="Arial"/>
        </w:rPr>
      </w:pPr>
      <w:r w:rsidRPr="009525A9">
        <w:rPr>
          <w:rFonts w:ascii="Arial" w:hAnsi="Arial" w:cs="Arial"/>
        </w:rPr>
        <w:t>DESARROLLO:</w:t>
      </w:r>
    </w:p>
    <w:p w14:paraId="55A1EC05" w14:textId="39477320" w:rsidR="00E23531" w:rsidRDefault="00E23531" w:rsidP="001723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realiza la reunión de forma presencial con participantes de los comedores y conexión por la plataforma TEAMS  con aquellos que por normas de bioseguridad no pudieron asistir a la Su</w:t>
      </w:r>
      <w:r w:rsidR="00CA306E">
        <w:rPr>
          <w:rFonts w:ascii="Arial" w:hAnsi="Arial" w:cs="Arial"/>
        </w:rPr>
        <w:t>b</w:t>
      </w:r>
      <w:r>
        <w:rPr>
          <w:rFonts w:ascii="Arial" w:hAnsi="Arial" w:cs="Arial"/>
        </w:rPr>
        <w:t>dirección.</w:t>
      </w:r>
    </w:p>
    <w:p w14:paraId="75799E9C" w14:textId="6447FF4E" w:rsidR="00623231" w:rsidRPr="009525A9" w:rsidRDefault="00623231" w:rsidP="001723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 da inicio con la intervención del Subdirector para la Integración social de Tunjuelito </w:t>
      </w:r>
      <w:r w:rsidR="00134A59">
        <w:rPr>
          <w:rFonts w:ascii="Arial" w:hAnsi="Arial" w:cs="Arial"/>
        </w:rPr>
        <w:t>Héctor</w:t>
      </w:r>
      <w:r>
        <w:rPr>
          <w:rFonts w:ascii="Arial" w:hAnsi="Arial" w:cs="Arial"/>
        </w:rPr>
        <w:t xml:space="preserve"> Fabio Rodríguez.</w:t>
      </w:r>
    </w:p>
    <w:p w14:paraId="6F620F35" w14:textId="426C70BA" w:rsidR="00172315" w:rsidRDefault="00623231" w:rsidP="001723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Claridades en el tema de Comedores nuevo nombre Cocinas populares, inquietudes al final de la reunión.</w:t>
      </w:r>
    </w:p>
    <w:p w14:paraId="42CC2EF3" w14:textId="2E57BE9F" w:rsidR="00623231" w:rsidRDefault="00623231" w:rsidP="001723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Reseña del proyecto </w:t>
      </w:r>
      <w:r w:rsidR="00134A59">
        <w:rPr>
          <w:rFonts w:ascii="Arial" w:hAnsi="Arial" w:cs="Arial"/>
        </w:rPr>
        <w:t>inseguridad</w:t>
      </w:r>
      <w:r>
        <w:rPr>
          <w:rFonts w:ascii="Arial" w:hAnsi="Arial" w:cs="Arial"/>
        </w:rPr>
        <w:t xml:space="preserve"> alimentaria</w:t>
      </w:r>
      <w:r w:rsidR="00863A76">
        <w:rPr>
          <w:rFonts w:ascii="Arial" w:hAnsi="Arial" w:cs="Arial"/>
        </w:rPr>
        <w:t>: los gobiernos se encuentran con la</w:t>
      </w:r>
      <w:r>
        <w:rPr>
          <w:rFonts w:ascii="Arial" w:hAnsi="Arial" w:cs="Arial"/>
        </w:rPr>
        <w:t xml:space="preserve"> preocupación</w:t>
      </w:r>
      <w:r w:rsidR="00863A76">
        <w:rPr>
          <w:rFonts w:ascii="Arial" w:hAnsi="Arial" w:cs="Arial"/>
        </w:rPr>
        <w:t xml:space="preserve"> de la inseguridad alimentaria en sus países y en </w:t>
      </w:r>
      <w:r>
        <w:rPr>
          <w:rFonts w:ascii="Arial" w:hAnsi="Arial" w:cs="Arial"/>
        </w:rPr>
        <w:t xml:space="preserve">1945 con la creación de la </w:t>
      </w:r>
      <w:r w:rsidR="00134A59">
        <w:rPr>
          <w:rFonts w:ascii="Arial" w:hAnsi="Arial" w:cs="Arial"/>
        </w:rPr>
        <w:t>ONU</w:t>
      </w:r>
      <w:r w:rsidR="00863A76">
        <w:rPr>
          <w:rFonts w:ascii="Arial" w:hAnsi="Arial" w:cs="Arial"/>
        </w:rPr>
        <w:t xml:space="preserve"> se inicia con la creación de políticas a nivel mundial para tratar esta problemática.</w:t>
      </w:r>
    </w:p>
    <w:p w14:paraId="64663ABC" w14:textId="22715281" w:rsidR="00623231" w:rsidRDefault="00B27067" w:rsidP="001723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la a</w:t>
      </w:r>
      <w:r w:rsidR="00134A59">
        <w:rPr>
          <w:rFonts w:ascii="Arial" w:hAnsi="Arial" w:cs="Arial"/>
        </w:rPr>
        <w:t>dministración</w:t>
      </w:r>
      <w:r w:rsidR="00623231">
        <w:rPr>
          <w:rFonts w:ascii="Arial" w:hAnsi="Arial" w:cs="Arial"/>
        </w:rPr>
        <w:t xml:space="preserve"> del alcalde </w:t>
      </w:r>
      <w:r w:rsidR="00134A59">
        <w:rPr>
          <w:rFonts w:ascii="Arial" w:hAnsi="Arial" w:cs="Arial"/>
        </w:rPr>
        <w:t>Andrés</w:t>
      </w:r>
      <w:r w:rsidR="00623231">
        <w:rPr>
          <w:rFonts w:ascii="Arial" w:hAnsi="Arial" w:cs="Arial"/>
        </w:rPr>
        <w:t xml:space="preserve"> </w:t>
      </w:r>
      <w:r w:rsidR="00134A59">
        <w:rPr>
          <w:rFonts w:ascii="Arial" w:hAnsi="Arial" w:cs="Arial"/>
        </w:rPr>
        <w:t>Pastrana</w:t>
      </w:r>
      <w:r w:rsidR="00623231">
        <w:rPr>
          <w:rFonts w:ascii="Arial" w:hAnsi="Arial" w:cs="Arial"/>
        </w:rPr>
        <w:t xml:space="preserve"> programa “vaso de leche” </w:t>
      </w:r>
      <w:r>
        <w:rPr>
          <w:rFonts w:ascii="Arial" w:hAnsi="Arial" w:cs="Arial"/>
        </w:rPr>
        <w:t>los ciudad</w:t>
      </w:r>
      <w:r w:rsidR="006A6878">
        <w:rPr>
          <w:rFonts w:ascii="Arial" w:hAnsi="Arial" w:cs="Arial"/>
        </w:rPr>
        <w:t>a</w:t>
      </w:r>
      <w:r>
        <w:rPr>
          <w:rFonts w:ascii="Arial" w:hAnsi="Arial" w:cs="Arial"/>
        </w:rPr>
        <w:t>nos que lo requerían, recibieron</w:t>
      </w:r>
      <w:r w:rsidR="00623231">
        <w:rPr>
          <w:rFonts w:ascii="Arial" w:hAnsi="Arial" w:cs="Arial"/>
        </w:rPr>
        <w:t xml:space="preserve"> utensilios de cocina para que prepararan su alimentación</w:t>
      </w:r>
      <w:r>
        <w:rPr>
          <w:rFonts w:ascii="Arial" w:hAnsi="Arial" w:cs="Arial"/>
        </w:rPr>
        <w:t>.</w:t>
      </w:r>
    </w:p>
    <w:p w14:paraId="4AD6C9FC" w14:textId="47CBEE13" w:rsidR="00623231" w:rsidRDefault="00623231" w:rsidP="001723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Cocinas comunitarias se preparaba alimento y se repartía a las personas de la comunidad</w:t>
      </w:r>
      <w:r w:rsidR="00B27067">
        <w:rPr>
          <w:rFonts w:ascii="Arial" w:hAnsi="Arial" w:cs="Arial"/>
        </w:rPr>
        <w:t>.</w:t>
      </w:r>
    </w:p>
    <w:p w14:paraId="3B872EB4" w14:textId="44AE0668" w:rsidR="00623231" w:rsidRDefault="00623231" w:rsidP="001723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la administración de Luis Eduardo Garzón Bogotá sin Indiferencia y el programa Bogotá Sin ha</w:t>
      </w:r>
      <w:r w:rsidR="00805001">
        <w:rPr>
          <w:rFonts w:ascii="Arial" w:hAnsi="Arial" w:cs="Arial"/>
        </w:rPr>
        <w:t>m</w:t>
      </w:r>
      <w:r>
        <w:rPr>
          <w:rFonts w:ascii="Arial" w:hAnsi="Arial" w:cs="Arial"/>
        </w:rPr>
        <w:t>bre con el programa comedores comunitarias se contrata con organizaciones sociales y la SDIS entregar el alimento caliente a las personas que lo necesiten y se crea una p</w:t>
      </w:r>
      <w:r w:rsidR="00134A5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lítica de seguridad alimentaria, se pretendía </w:t>
      </w:r>
      <w:r w:rsidR="00134A59">
        <w:rPr>
          <w:rFonts w:ascii="Arial" w:hAnsi="Arial" w:cs="Arial"/>
        </w:rPr>
        <w:t>atender la necesidades  de las personas mientras estuviese en una situación temporal y transitorio bajo un componente de inclusión social con actividades de capacitación para el empleo, se evidencia con esto es que los participantes se perpetuaban en el proyecto.</w:t>
      </w:r>
    </w:p>
    <w:p w14:paraId="39BC0A62" w14:textId="4312925B" w:rsidR="00134A59" w:rsidRDefault="00134A59" w:rsidP="001723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proceso contractual con las ONG se realizaba por un tiempo de un (1) año y unas licitaban y continuaban y otras ya participaban del proceso.</w:t>
      </w:r>
    </w:p>
    <w:p w14:paraId="2BA70FB6" w14:textId="5BC8E2B4" w:rsidR="00134A59" w:rsidRDefault="00134A59" w:rsidP="001723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SDIS cuando se terminaban los contratos continuaba entrega paquete alimentario por 12 días para el beneficiario del comedor más no para la familia, no se entregan lácteos, 5 libras de arroz, 1 paquete de </w:t>
      </w:r>
      <w:proofErr w:type="spellStart"/>
      <w:r>
        <w:rPr>
          <w:rFonts w:ascii="Arial" w:hAnsi="Arial" w:cs="Arial"/>
        </w:rPr>
        <w:t>spaguetti</w:t>
      </w:r>
      <w:proofErr w:type="spellEnd"/>
      <w:r>
        <w:rPr>
          <w:rFonts w:ascii="Arial" w:hAnsi="Arial" w:cs="Arial"/>
        </w:rPr>
        <w:t>, avena en hojuelas 15 huevos, 4 latas de atún en agua, frijol, alverja verde seca</w:t>
      </w:r>
      <w:r w:rsidR="0080500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 frasco de aceite de soya, 1 leche entera en polvo.</w:t>
      </w:r>
    </w:p>
    <w:p w14:paraId="2173CA78" w14:textId="26F0FC9B" w:rsidR="00134A59" w:rsidRDefault="00134A59" w:rsidP="001723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entrega también bono de complementación alimentaria y canasta afro.</w:t>
      </w:r>
    </w:p>
    <w:p w14:paraId="792F4EDA" w14:textId="622C395F" w:rsidR="00134A59" w:rsidRDefault="00134A59" w:rsidP="001723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tema de pandemia la administración busca alternativas para que tenga una alimentación óptima y de calidad. Se debe ajustar a las nuevas realidades sociales, extender el horario </w:t>
      </w:r>
      <w:r w:rsidR="00E23531">
        <w:rPr>
          <w:rFonts w:ascii="Arial" w:hAnsi="Arial" w:cs="Arial"/>
        </w:rPr>
        <w:t>de toma</w:t>
      </w:r>
      <w:r>
        <w:rPr>
          <w:rFonts w:ascii="Arial" w:hAnsi="Arial" w:cs="Arial"/>
        </w:rPr>
        <w:t xml:space="preserve"> </w:t>
      </w:r>
      <w:r w:rsidR="00E23531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almuerzo hasta las 6:00 </w:t>
      </w:r>
      <w:proofErr w:type="spellStart"/>
      <w:r>
        <w:rPr>
          <w:rFonts w:ascii="Arial" w:hAnsi="Arial" w:cs="Arial"/>
        </w:rPr>
        <w:t>p.m</w:t>
      </w:r>
      <w:proofErr w:type="spellEnd"/>
      <w:r w:rsidR="00E23531">
        <w:rPr>
          <w:rFonts w:ascii="Arial" w:hAnsi="Arial" w:cs="Arial"/>
        </w:rPr>
        <w:t>, esto resolverá</w:t>
      </w:r>
      <w:r w:rsidR="00805001">
        <w:rPr>
          <w:rFonts w:ascii="Arial" w:hAnsi="Arial" w:cs="Arial"/>
        </w:rPr>
        <w:t xml:space="preserve"> problemas de tiempo y movilidad de los participantes y también tiene la posibilidad de llevar el alimento a su casa más humanos </w:t>
      </w:r>
      <w:proofErr w:type="spellStart"/>
      <w:r w:rsidR="00805001">
        <w:rPr>
          <w:rFonts w:ascii="Arial" w:hAnsi="Arial" w:cs="Arial"/>
        </w:rPr>
        <w:t>accequibles</w:t>
      </w:r>
      <w:proofErr w:type="spellEnd"/>
      <w:r w:rsidR="00805001">
        <w:rPr>
          <w:rFonts w:ascii="Arial" w:hAnsi="Arial" w:cs="Arial"/>
        </w:rPr>
        <w:t xml:space="preserve"> a los ciudadanos, muchos comedores van a seguir funcionando en instalaciones privadas pero también en instalaciones de la entidad, otra ventaja servicio a domicilio para aquellas personas que tienen dificultades de movilidad o discapacidad, beneficios para aquellos ciudadanos que estudian y trabajan con programas de formación </w:t>
      </w:r>
      <w:r w:rsidR="00E23531">
        <w:rPr>
          <w:rFonts w:ascii="Arial" w:hAnsi="Arial" w:cs="Arial"/>
        </w:rPr>
        <w:t xml:space="preserve">en </w:t>
      </w:r>
      <w:r w:rsidR="00805001">
        <w:rPr>
          <w:rFonts w:ascii="Arial" w:hAnsi="Arial" w:cs="Arial"/>
        </w:rPr>
        <w:t>servicio social, llegar a las personas que realmente lo necesitan por la falta de alimento</w:t>
      </w:r>
      <w:r w:rsidR="006A5F4D">
        <w:rPr>
          <w:rFonts w:ascii="Arial" w:hAnsi="Arial" w:cs="Arial"/>
        </w:rPr>
        <w:t>.</w:t>
      </w:r>
    </w:p>
    <w:p w14:paraId="399F3058" w14:textId="0E2C7777" w:rsidR="006A5F4D" w:rsidRPr="009525A9" w:rsidRDefault="006A5F4D" w:rsidP="001723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Responde las preguntas generadas desde el chat la funcionaria encargada del proyecto Luz Mireya López.</w:t>
      </w:r>
    </w:p>
    <w:p w14:paraId="174031E0" w14:textId="2CC064DA" w:rsidR="00172315" w:rsidRPr="00805001" w:rsidRDefault="00805001" w:rsidP="00172315">
      <w:pPr>
        <w:jc w:val="both"/>
        <w:rPr>
          <w:rFonts w:ascii="Arial" w:hAnsi="Arial" w:cs="Arial"/>
        </w:rPr>
      </w:pPr>
      <w:r w:rsidRPr="00805001">
        <w:rPr>
          <w:rFonts w:ascii="Arial" w:hAnsi="Arial" w:cs="Arial"/>
        </w:rPr>
        <w:t>Pregunta</w:t>
      </w:r>
    </w:p>
    <w:p w14:paraId="633896A6" w14:textId="4AC3444D" w:rsidR="00805001" w:rsidRDefault="006A5F4D" w:rsidP="0080500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Hacen falta, frutas, verduras y </w:t>
      </w:r>
      <w:r w:rsidR="00805001">
        <w:rPr>
          <w:rFonts w:ascii="Arial" w:hAnsi="Arial" w:cs="Arial"/>
        </w:rPr>
        <w:t>la carne, porque no se entregan?</w:t>
      </w:r>
      <w:proofErr w:type="gramEnd"/>
    </w:p>
    <w:p w14:paraId="3658AC1C" w14:textId="59269E99" w:rsidR="00805001" w:rsidRDefault="006A5F4D" w:rsidP="00805001">
      <w:pPr>
        <w:pStyle w:val="Prrafode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Porque se pierde</w:t>
      </w:r>
      <w:r w:rsidR="00805001">
        <w:rPr>
          <w:rFonts w:ascii="Arial" w:hAnsi="Arial" w:cs="Arial"/>
        </w:rPr>
        <w:t xml:space="preserve"> la cadena de frío de los alimentos.</w:t>
      </w:r>
    </w:p>
    <w:p w14:paraId="296DA00D" w14:textId="3BFCFF60" w:rsidR="00805001" w:rsidRDefault="00805001" w:rsidP="0080500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Porque no se hace grupos pequeños para la entrega de alimentos en el comedor</w:t>
      </w:r>
      <w:r w:rsidR="006A5F4D">
        <w:rPr>
          <w:rFonts w:ascii="Arial" w:hAnsi="Arial" w:cs="Arial"/>
        </w:rPr>
        <w:t>?</w:t>
      </w:r>
      <w:proofErr w:type="gramEnd"/>
    </w:p>
    <w:p w14:paraId="69DDFCCC" w14:textId="5AEFC8F3" w:rsidR="00805001" w:rsidRDefault="00805001" w:rsidP="00805001">
      <w:pPr>
        <w:pStyle w:val="Prrafode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No es favorable ya que no se cumpliría las condiciones de bioseguridad</w:t>
      </w:r>
      <w:r w:rsidR="006A5F4D">
        <w:rPr>
          <w:rFonts w:ascii="Arial" w:hAnsi="Arial" w:cs="Arial"/>
        </w:rPr>
        <w:t>.</w:t>
      </w:r>
    </w:p>
    <w:p w14:paraId="0829B43A" w14:textId="1CA6B6B5" w:rsidR="00805001" w:rsidRDefault="00805001" w:rsidP="0080500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Las personas con discapacidad se les lleva el alimento?</w:t>
      </w:r>
      <w:proofErr w:type="gramEnd"/>
    </w:p>
    <w:p w14:paraId="020F3667" w14:textId="3AF309ED" w:rsidR="00805001" w:rsidRDefault="00805001" w:rsidP="00805001">
      <w:pPr>
        <w:pStyle w:val="Prrafode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Si, se está realizando en este momento la entrega a domicilio del alimento a las personas con discapacidad y adultos mayores que no pueden desplazarse hasta el comedor.</w:t>
      </w:r>
    </w:p>
    <w:p w14:paraId="37AB1FE3" w14:textId="77777777" w:rsidR="00805001" w:rsidRDefault="00805001" w:rsidP="00805001">
      <w:pPr>
        <w:pStyle w:val="Prrafodelista"/>
        <w:ind w:left="360"/>
        <w:jc w:val="both"/>
        <w:rPr>
          <w:rFonts w:ascii="Arial" w:hAnsi="Arial" w:cs="Arial"/>
        </w:rPr>
      </w:pPr>
    </w:p>
    <w:p w14:paraId="18D0A75C" w14:textId="011DF117" w:rsidR="00805001" w:rsidRDefault="00805001" w:rsidP="00805001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Desde la dirección territorial se encuentra la funcionaría Flor</w:t>
      </w:r>
      <w:r w:rsidR="00863A76">
        <w:rPr>
          <w:rFonts w:ascii="Arial" w:hAnsi="Arial" w:cs="Arial"/>
        </w:rPr>
        <w:t xml:space="preserve"> Rivera </w:t>
      </w:r>
      <w:r w:rsidR="00DC0BF7">
        <w:rPr>
          <w:rFonts w:ascii="Arial" w:hAnsi="Arial" w:cs="Arial"/>
        </w:rPr>
        <w:t>que apoya los procesos de la Subdirección Local, indica que la SDIS</w:t>
      </w:r>
      <w:r>
        <w:rPr>
          <w:rFonts w:ascii="Arial" w:hAnsi="Arial" w:cs="Arial"/>
        </w:rPr>
        <w:t xml:space="preserve"> busca elegir la mejor hoja de ruta para que las personas superen las condiciones en que se encuentran en este momento y las de sus familias, también se busca potenciar las habilidades de los usuarios para crear </w:t>
      </w:r>
      <w:r w:rsidR="00797BEE">
        <w:rPr>
          <w:rFonts w:ascii="Arial" w:hAnsi="Arial" w:cs="Arial"/>
        </w:rPr>
        <w:t>emprendimientos</w:t>
      </w:r>
      <w:r>
        <w:rPr>
          <w:rFonts w:ascii="Arial" w:hAnsi="Arial" w:cs="Arial"/>
        </w:rPr>
        <w:t xml:space="preserve"> y elevar las condiciones de </w:t>
      </w:r>
      <w:r w:rsidR="00797BEE">
        <w:rPr>
          <w:rFonts w:ascii="Arial" w:hAnsi="Arial" w:cs="Arial"/>
        </w:rPr>
        <w:t>vida, no sólo recibir el aporte nutricional sino también mejorar las situaciones en que se encuentran</w:t>
      </w:r>
      <w:r w:rsidR="00DC0BF7">
        <w:rPr>
          <w:rFonts w:ascii="Arial" w:hAnsi="Arial" w:cs="Arial"/>
        </w:rPr>
        <w:t xml:space="preserve"> las familias actualmente.</w:t>
      </w:r>
    </w:p>
    <w:p w14:paraId="283145C5" w14:textId="2BD0724B" w:rsidR="00797BEE" w:rsidRDefault="00797BEE" w:rsidP="00805001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de aclarar que no se van a cerrar los comedores </w:t>
      </w:r>
      <w:r w:rsidR="00DC0BF7">
        <w:rPr>
          <w:rFonts w:ascii="Arial" w:hAnsi="Arial" w:cs="Arial"/>
        </w:rPr>
        <w:t xml:space="preserve">y que </w:t>
      </w:r>
      <w:r>
        <w:rPr>
          <w:rFonts w:ascii="Arial" w:hAnsi="Arial" w:cs="Arial"/>
        </w:rPr>
        <w:t>se está realizando la reorganización de los comedores para mejorar y tener calidad del servicio y</w:t>
      </w:r>
      <w:r w:rsidR="00DC0BF7">
        <w:rPr>
          <w:rFonts w:ascii="Arial" w:hAnsi="Arial" w:cs="Arial"/>
        </w:rPr>
        <w:t xml:space="preserve"> a su vez,</w:t>
      </w:r>
      <w:r>
        <w:rPr>
          <w:rFonts w:ascii="Arial" w:hAnsi="Arial" w:cs="Arial"/>
        </w:rPr>
        <w:t xml:space="preserve"> llegué a los usu</w:t>
      </w:r>
      <w:r w:rsidR="00DC0BF7">
        <w:rPr>
          <w:rFonts w:ascii="Arial" w:hAnsi="Arial" w:cs="Arial"/>
        </w:rPr>
        <w:t>arios que realmente lo requieran.</w:t>
      </w:r>
    </w:p>
    <w:p w14:paraId="76E4892B" w14:textId="3F40FC46" w:rsidR="00797BEE" w:rsidRDefault="00797BEE" w:rsidP="00805001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Desde el lunes 08 de febrero se encuentra en la página del SECOP II los pliegos de la licitación</w:t>
      </w:r>
      <w:r w:rsidR="00DC0BF7">
        <w:rPr>
          <w:rFonts w:ascii="Arial" w:hAnsi="Arial" w:cs="Arial"/>
        </w:rPr>
        <w:t xml:space="preserve"> para que participen las ONG.</w:t>
      </w:r>
    </w:p>
    <w:p w14:paraId="275D3EDA" w14:textId="77777777" w:rsidR="00DC0BF7" w:rsidRDefault="00DC0BF7" w:rsidP="00805001">
      <w:pPr>
        <w:pStyle w:val="Prrafodelista"/>
        <w:ind w:left="0"/>
        <w:jc w:val="both"/>
        <w:rPr>
          <w:rFonts w:ascii="Arial" w:hAnsi="Arial" w:cs="Arial"/>
        </w:rPr>
      </w:pPr>
    </w:p>
    <w:p w14:paraId="6B557003" w14:textId="05185AA3" w:rsidR="00797BEE" w:rsidRDefault="00797BEE" w:rsidP="00805001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Pregunta el señor Jorge Giovanny Calderón edil de la localidad de Tunjuelito</w:t>
      </w:r>
      <w:r w:rsidR="00CA306E">
        <w:rPr>
          <w:rFonts w:ascii="Arial" w:hAnsi="Arial" w:cs="Arial"/>
        </w:rPr>
        <w:t xml:space="preserve"> acerca</w:t>
      </w:r>
      <w:r w:rsidR="006A4878">
        <w:rPr>
          <w:rFonts w:ascii="Arial" w:hAnsi="Arial" w:cs="Arial"/>
        </w:rPr>
        <w:t xml:space="preserve"> la alimentación y su preparación debe ser de buena calidad</w:t>
      </w:r>
      <w:r w:rsidR="00B27067">
        <w:rPr>
          <w:rFonts w:ascii="Arial" w:hAnsi="Arial" w:cs="Arial"/>
        </w:rPr>
        <w:t>, solicita mayor acompañamiento del personal de nutrición para el seguimiento de la preparación y cantidad de los alimentos servidos.</w:t>
      </w:r>
    </w:p>
    <w:p w14:paraId="536A915C" w14:textId="77777777" w:rsidR="00B27067" w:rsidRDefault="00B27067" w:rsidP="00805001">
      <w:pPr>
        <w:pStyle w:val="Prrafodelista"/>
        <w:ind w:left="0"/>
        <w:jc w:val="both"/>
        <w:rPr>
          <w:rFonts w:ascii="Arial" w:hAnsi="Arial" w:cs="Arial"/>
        </w:rPr>
      </w:pPr>
    </w:p>
    <w:p w14:paraId="1D793F83" w14:textId="1ECE6455" w:rsidR="006A4878" w:rsidRDefault="006A4878" w:rsidP="006A487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Los comedores continuar</w:t>
      </w:r>
      <w:r w:rsidR="006A5F4D">
        <w:rPr>
          <w:rFonts w:ascii="Arial" w:hAnsi="Arial" w:cs="Arial"/>
        </w:rPr>
        <w:t>án en el mismo lugar?</w:t>
      </w:r>
      <w:proofErr w:type="gramEnd"/>
    </w:p>
    <w:p w14:paraId="34F7829A" w14:textId="2855641C" w:rsidR="006A4878" w:rsidRDefault="006A4878" w:rsidP="006A4878">
      <w:pPr>
        <w:pStyle w:val="Prrafode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Puede que continúen en las mismas instalaciones, depende si ganan la licitación.</w:t>
      </w:r>
    </w:p>
    <w:p w14:paraId="0E81E5B1" w14:textId="6EEBCC72" w:rsidR="006A4878" w:rsidRDefault="006A4878" w:rsidP="006A487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Los extranjeros pueden acceder al servicio</w:t>
      </w:r>
      <w:r w:rsidR="006A5F4D">
        <w:rPr>
          <w:rFonts w:ascii="Arial" w:hAnsi="Arial" w:cs="Arial"/>
        </w:rPr>
        <w:t>?</w:t>
      </w:r>
      <w:proofErr w:type="gramEnd"/>
    </w:p>
    <w:p w14:paraId="461857EF" w14:textId="3167BF05" w:rsidR="006A4878" w:rsidRPr="006A4878" w:rsidRDefault="006A4878" w:rsidP="006A4878">
      <w:pPr>
        <w:spacing w:after="0"/>
        <w:ind w:firstLine="360"/>
        <w:jc w:val="both"/>
        <w:rPr>
          <w:rFonts w:ascii="Arial" w:hAnsi="Arial" w:cs="Arial"/>
        </w:rPr>
      </w:pPr>
      <w:r w:rsidRPr="006A4878">
        <w:rPr>
          <w:rFonts w:ascii="Arial" w:hAnsi="Arial" w:cs="Arial"/>
        </w:rPr>
        <w:t>Si</w:t>
      </w:r>
      <w:r>
        <w:rPr>
          <w:rFonts w:ascii="Arial" w:hAnsi="Arial" w:cs="Arial"/>
        </w:rPr>
        <w:t>, siempre y cuando cumplan</w:t>
      </w:r>
      <w:r w:rsidR="006A5F4D">
        <w:rPr>
          <w:rFonts w:ascii="Arial" w:hAnsi="Arial" w:cs="Arial"/>
        </w:rPr>
        <w:t xml:space="preserve"> con los criterios de ingreso.</w:t>
      </w:r>
    </w:p>
    <w:p w14:paraId="213067DE" w14:textId="72921D56" w:rsidR="006A4878" w:rsidRDefault="006A4878" w:rsidP="006A487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 van a unir los comedores?</w:t>
      </w:r>
      <w:proofErr w:type="gramEnd"/>
    </w:p>
    <w:p w14:paraId="0A9E3634" w14:textId="30C8D761" w:rsidR="006A4878" w:rsidRDefault="006A4878" w:rsidP="006A4878">
      <w:pPr>
        <w:pStyle w:val="Prrafode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Hasta el momento no</w:t>
      </w:r>
      <w:r w:rsidR="006A5F4D">
        <w:rPr>
          <w:rFonts w:ascii="Arial" w:hAnsi="Arial" w:cs="Arial"/>
        </w:rPr>
        <w:t xml:space="preserve"> está contemplado</w:t>
      </w:r>
    </w:p>
    <w:p w14:paraId="36DFDE10" w14:textId="4FE1CF77" w:rsidR="00B27067" w:rsidRDefault="00B27067" w:rsidP="00B2706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Cuál va ser la ayuda para las personas mayores en los centros día?</w:t>
      </w:r>
    </w:p>
    <w:p w14:paraId="424B27A5" w14:textId="5894C767" w:rsidR="00B27067" w:rsidRPr="00B27067" w:rsidRDefault="00B27067" w:rsidP="00B27067">
      <w:pPr>
        <w:pStyle w:val="Prrafodelista"/>
        <w:ind w:left="360"/>
        <w:jc w:val="both"/>
      </w:pPr>
      <w:r>
        <w:rPr>
          <w:rFonts w:ascii="Arial" w:hAnsi="Arial" w:cs="Arial"/>
        </w:rPr>
        <w:t>Se está a la espera de la forma de entrega de los alimentos.</w:t>
      </w:r>
    </w:p>
    <w:p w14:paraId="4238A321" w14:textId="77777777" w:rsidR="006A4878" w:rsidRDefault="006A4878" w:rsidP="006A4878">
      <w:pPr>
        <w:pStyle w:val="Prrafodelista"/>
        <w:ind w:left="0"/>
        <w:jc w:val="both"/>
        <w:rPr>
          <w:rFonts w:ascii="Arial" w:hAnsi="Arial" w:cs="Arial"/>
        </w:rPr>
      </w:pPr>
    </w:p>
    <w:p w14:paraId="0796E4EE" w14:textId="07B18FB8" w:rsidR="006A4878" w:rsidRDefault="006A4878" w:rsidP="006A4878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Se informa la decisión del gobierno nacional de flexibilizar las políticas de permanencia de los ciudadanos extranjeros por los próximos 10 años.</w:t>
      </w:r>
    </w:p>
    <w:p w14:paraId="6A7C7223" w14:textId="3A5768D7" w:rsidR="006A4878" w:rsidRPr="00805001" w:rsidRDefault="006A4878" w:rsidP="00B27067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La administración debe garantizar la alimentación de los usuarios de los comedores, y en pandemia se garantiza al alimento así no se tengan instalaciones porque no hay contrato con los operadores.</w:t>
      </w:r>
    </w:p>
    <w:p w14:paraId="14C618AC" w14:textId="7B12FECA" w:rsidR="00172315" w:rsidRDefault="00EC186C" w:rsidP="001723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genera inquietud respecto a las personas para el ingreso a bonos y/o a comedores y se realiza la aclaración de los criterios de priorización para el ingreso al servicio más apropiado para el ciudadano o su grupo familiar.</w:t>
      </w:r>
    </w:p>
    <w:p w14:paraId="15D8B49F" w14:textId="0302B730" w:rsidR="00B27067" w:rsidRDefault="00B27067" w:rsidP="001723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Subdirector Local  informa que cualquier</w:t>
      </w:r>
      <w:r w:rsidR="00E23531">
        <w:rPr>
          <w:rFonts w:ascii="Arial" w:hAnsi="Arial" w:cs="Arial"/>
        </w:rPr>
        <w:t xml:space="preserve"> inquietud se aclarará</w:t>
      </w:r>
      <w:r>
        <w:rPr>
          <w:rFonts w:ascii="Arial" w:hAnsi="Arial" w:cs="Arial"/>
        </w:rPr>
        <w:t xml:space="preserve"> en las instalaciones de</w:t>
      </w:r>
      <w:r w:rsidR="00E23531">
        <w:rPr>
          <w:rFonts w:ascii="Arial" w:hAnsi="Arial" w:cs="Arial"/>
        </w:rPr>
        <w:t xml:space="preserve"> la Subdirección Local.</w:t>
      </w:r>
      <w:r>
        <w:rPr>
          <w:rFonts w:ascii="Arial" w:hAnsi="Arial" w:cs="Arial"/>
        </w:rPr>
        <w:t xml:space="preserve"> </w:t>
      </w:r>
    </w:p>
    <w:p w14:paraId="4AF02F57" w14:textId="1A3A5859" w:rsidR="006A5F4D" w:rsidRPr="009525A9" w:rsidRDefault="006A5F4D" w:rsidP="001723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da por finalizad</w:t>
      </w:r>
      <w:r w:rsidR="00B2706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la reunión a las 5:10 p.m</w:t>
      </w:r>
      <w:r w:rsidR="00E23531">
        <w:rPr>
          <w:rFonts w:ascii="Arial" w:hAnsi="Arial" w:cs="Arial"/>
        </w:rPr>
        <w:t>.</w:t>
      </w:r>
    </w:p>
    <w:p w14:paraId="6C702A64" w14:textId="77777777" w:rsidR="00172315" w:rsidRDefault="00172315" w:rsidP="00172315">
      <w:pPr>
        <w:jc w:val="both"/>
        <w:rPr>
          <w:rFonts w:ascii="Arial" w:hAnsi="Arial" w:cs="Arial"/>
        </w:rPr>
      </w:pPr>
    </w:p>
    <w:p w14:paraId="26173564" w14:textId="4A9B0E8D" w:rsidR="00172315" w:rsidRDefault="00EC6B6A" w:rsidP="001723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Compromisos: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673"/>
        <w:gridCol w:w="2268"/>
        <w:gridCol w:w="2410"/>
      </w:tblGrid>
      <w:tr w:rsidR="00EC6B6A" w14:paraId="33D7078D" w14:textId="77777777" w:rsidTr="00A815B1">
        <w:trPr>
          <w:trHeight w:val="170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127BE682" w14:textId="1D6B8B93" w:rsidR="00EC6B6A" w:rsidRPr="00EC6B6A" w:rsidRDefault="00EC6B6A" w:rsidP="00EC6B6A">
            <w:pPr>
              <w:jc w:val="center"/>
              <w:rPr>
                <w:rFonts w:ascii="Arial" w:hAnsi="Arial" w:cs="Arial"/>
                <w:b/>
              </w:rPr>
            </w:pPr>
            <w:r w:rsidRPr="00EC6B6A">
              <w:rPr>
                <w:rFonts w:ascii="Arial" w:hAnsi="Arial" w:cs="Arial"/>
                <w:b/>
              </w:rPr>
              <w:t>Compromisos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646C6BE" w14:textId="0546270B" w:rsidR="00EC6B6A" w:rsidRPr="00EC6B6A" w:rsidRDefault="00EC6B6A" w:rsidP="00EC6B6A">
            <w:pPr>
              <w:jc w:val="center"/>
              <w:rPr>
                <w:rFonts w:ascii="Arial" w:hAnsi="Arial" w:cs="Arial"/>
                <w:b/>
              </w:rPr>
            </w:pPr>
            <w:r w:rsidRPr="00EC6B6A">
              <w:rPr>
                <w:rFonts w:ascii="Arial" w:hAnsi="Arial" w:cs="Arial"/>
                <w:b/>
              </w:rPr>
              <w:t>Responsables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44345BB" w14:textId="002CB54C" w:rsidR="00EC6B6A" w:rsidRPr="00EC6B6A" w:rsidRDefault="00EC6B6A" w:rsidP="00EC6B6A">
            <w:pPr>
              <w:jc w:val="center"/>
              <w:rPr>
                <w:rFonts w:ascii="Arial" w:hAnsi="Arial" w:cs="Arial"/>
                <w:b/>
              </w:rPr>
            </w:pPr>
            <w:r w:rsidRPr="00EC6B6A">
              <w:rPr>
                <w:rFonts w:ascii="Arial" w:hAnsi="Arial" w:cs="Arial"/>
                <w:b/>
              </w:rPr>
              <w:t>Fecha de Ejecución</w:t>
            </w:r>
          </w:p>
        </w:tc>
      </w:tr>
      <w:tr w:rsidR="00EC6B6A" w14:paraId="586E4A85" w14:textId="77777777" w:rsidTr="00A815B1">
        <w:trPr>
          <w:trHeight w:val="238"/>
        </w:trPr>
        <w:tc>
          <w:tcPr>
            <w:tcW w:w="4673" w:type="dxa"/>
          </w:tcPr>
          <w:p w14:paraId="5B498649" w14:textId="77777777" w:rsidR="00EC6B6A" w:rsidRDefault="00EC6B6A" w:rsidP="001723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B18519" w14:textId="77777777" w:rsidR="00EC6B6A" w:rsidRDefault="00EC6B6A" w:rsidP="001723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B4BDD1B" w14:textId="77777777" w:rsidR="00EC6B6A" w:rsidRDefault="00EC6B6A" w:rsidP="00172315">
            <w:pPr>
              <w:jc w:val="both"/>
              <w:rPr>
                <w:rFonts w:ascii="Arial" w:hAnsi="Arial" w:cs="Arial"/>
              </w:rPr>
            </w:pPr>
          </w:p>
        </w:tc>
      </w:tr>
      <w:tr w:rsidR="00EC6B6A" w14:paraId="03D273B2" w14:textId="77777777" w:rsidTr="00A815B1">
        <w:trPr>
          <w:trHeight w:val="231"/>
        </w:trPr>
        <w:tc>
          <w:tcPr>
            <w:tcW w:w="4673" w:type="dxa"/>
          </w:tcPr>
          <w:p w14:paraId="1A2DB7F2" w14:textId="77777777" w:rsidR="00EC6B6A" w:rsidRDefault="00EC6B6A" w:rsidP="001723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6F67A68" w14:textId="77777777" w:rsidR="00EC6B6A" w:rsidRDefault="00EC6B6A" w:rsidP="001723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8C2CA2A" w14:textId="77777777" w:rsidR="00EC6B6A" w:rsidRDefault="00EC6B6A" w:rsidP="00172315">
            <w:pPr>
              <w:jc w:val="both"/>
              <w:rPr>
                <w:rFonts w:ascii="Arial" w:hAnsi="Arial" w:cs="Arial"/>
              </w:rPr>
            </w:pPr>
          </w:p>
        </w:tc>
      </w:tr>
    </w:tbl>
    <w:p w14:paraId="09CFC6E8" w14:textId="77777777" w:rsidR="00E23531" w:rsidRDefault="00E23531" w:rsidP="00172315">
      <w:pPr>
        <w:jc w:val="both"/>
        <w:rPr>
          <w:rFonts w:ascii="Arial" w:hAnsi="Arial" w:cs="Arial"/>
        </w:rPr>
      </w:pPr>
    </w:p>
    <w:p w14:paraId="2B5AE34E" w14:textId="3074BEFD" w:rsidR="00172315" w:rsidRPr="009525A9" w:rsidRDefault="00172315" w:rsidP="00172315">
      <w:pPr>
        <w:jc w:val="both"/>
        <w:rPr>
          <w:rFonts w:ascii="Arial" w:hAnsi="Arial" w:cs="Arial"/>
        </w:rPr>
      </w:pPr>
      <w:r w:rsidRPr="009525A9">
        <w:rPr>
          <w:rFonts w:ascii="Arial" w:hAnsi="Arial" w:cs="Arial"/>
        </w:rPr>
        <w:t xml:space="preserve">En constancia de lo anterior firman: </w:t>
      </w:r>
    </w:p>
    <w:tbl>
      <w:tblPr>
        <w:tblW w:w="9658" w:type="dxa"/>
        <w:tblInd w:w="-34" w:type="dxa"/>
        <w:tblLook w:val="04A0" w:firstRow="1" w:lastRow="0" w:firstColumn="1" w:lastColumn="0" w:noHBand="0" w:noVBand="1"/>
      </w:tblPr>
      <w:tblGrid>
        <w:gridCol w:w="2706"/>
        <w:gridCol w:w="256"/>
        <w:gridCol w:w="2283"/>
        <w:gridCol w:w="236"/>
        <w:gridCol w:w="2316"/>
        <w:gridCol w:w="236"/>
        <w:gridCol w:w="1625"/>
      </w:tblGrid>
      <w:tr w:rsidR="00172315" w:rsidRPr="009525A9" w14:paraId="01CC549A" w14:textId="77777777" w:rsidTr="00234A54">
        <w:trPr>
          <w:trHeight w:val="340"/>
        </w:trPr>
        <w:tc>
          <w:tcPr>
            <w:tcW w:w="2706" w:type="dxa"/>
            <w:vAlign w:val="center"/>
          </w:tcPr>
          <w:p w14:paraId="673D98AA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  <w:r w:rsidRPr="009525A9">
              <w:rPr>
                <w:rFonts w:ascii="Arial" w:eastAsia="Times New Roman" w:hAnsi="Arial" w:cs="Arial"/>
                <w:b/>
                <w:bCs/>
                <w:lang w:eastAsia="es-CO"/>
              </w:rPr>
              <w:t>Nombres y Apellidos</w:t>
            </w:r>
          </w:p>
        </w:tc>
        <w:tc>
          <w:tcPr>
            <w:tcW w:w="256" w:type="dxa"/>
          </w:tcPr>
          <w:p w14:paraId="41169869" w14:textId="77777777" w:rsidR="00172315" w:rsidRPr="009525A9" w:rsidRDefault="00172315" w:rsidP="00234A54">
            <w:pPr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2283" w:type="dxa"/>
            <w:vAlign w:val="center"/>
          </w:tcPr>
          <w:p w14:paraId="1AE1C824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  <w:r w:rsidRPr="009525A9">
              <w:rPr>
                <w:rFonts w:ascii="Arial" w:hAnsi="Arial" w:cs="Arial"/>
                <w:b/>
              </w:rPr>
              <w:t>Cargo o Tipo de vinculación</w:t>
            </w:r>
          </w:p>
        </w:tc>
        <w:tc>
          <w:tcPr>
            <w:tcW w:w="236" w:type="dxa"/>
          </w:tcPr>
          <w:p w14:paraId="62C7D84E" w14:textId="77777777" w:rsidR="00172315" w:rsidRPr="009525A9" w:rsidRDefault="00172315" w:rsidP="00234A54">
            <w:pPr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2316" w:type="dxa"/>
            <w:vAlign w:val="center"/>
          </w:tcPr>
          <w:p w14:paraId="27C21043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  <w:r w:rsidRPr="009525A9">
              <w:rPr>
                <w:rFonts w:ascii="Arial" w:eastAsia="Times New Roman" w:hAnsi="Arial" w:cs="Arial"/>
                <w:b/>
                <w:bCs/>
                <w:lang w:eastAsia="es-CO"/>
              </w:rPr>
              <w:t>Dependencia</w:t>
            </w:r>
          </w:p>
        </w:tc>
        <w:tc>
          <w:tcPr>
            <w:tcW w:w="236" w:type="dxa"/>
          </w:tcPr>
          <w:p w14:paraId="5AF6B1B4" w14:textId="77777777" w:rsidR="00172315" w:rsidRPr="009525A9" w:rsidRDefault="00172315" w:rsidP="00234A54">
            <w:pPr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1625" w:type="dxa"/>
            <w:vAlign w:val="center"/>
          </w:tcPr>
          <w:p w14:paraId="450C3EA7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  <w:r w:rsidRPr="009525A9">
              <w:rPr>
                <w:rFonts w:ascii="Arial" w:eastAsia="Times New Roman" w:hAnsi="Arial" w:cs="Arial"/>
                <w:b/>
                <w:bCs/>
                <w:lang w:eastAsia="es-CO"/>
              </w:rPr>
              <w:t>Firma</w:t>
            </w:r>
          </w:p>
        </w:tc>
      </w:tr>
      <w:tr w:rsidR="00172315" w:rsidRPr="009525A9" w14:paraId="7B317EA5" w14:textId="77777777" w:rsidTr="00234A54">
        <w:trPr>
          <w:trHeight w:val="340"/>
        </w:trPr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14:paraId="16D659CF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</w:tcPr>
          <w:p w14:paraId="38402714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14:paraId="102802AF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69FBB3EF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14:paraId="7832D926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51C17446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14:paraId="059689CF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</w:tr>
      <w:tr w:rsidR="00172315" w:rsidRPr="009525A9" w14:paraId="062631C1" w14:textId="77777777" w:rsidTr="00234A54">
        <w:trPr>
          <w:trHeight w:val="340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485D7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</w:tcPr>
          <w:p w14:paraId="581F535C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DCA7C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25DDDDA0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C1027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57547784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9EA81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</w:tr>
      <w:tr w:rsidR="00172315" w:rsidRPr="009525A9" w14:paraId="07B21D15" w14:textId="77777777" w:rsidTr="00234A54">
        <w:trPr>
          <w:trHeight w:val="340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F7942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</w:tcPr>
          <w:p w14:paraId="3DEB78AC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131F6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30665BD2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D5CA1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0437886C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95B58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</w:tr>
      <w:tr w:rsidR="00172315" w:rsidRPr="009525A9" w14:paraId="5AF96EC7" w14:textId="77777777" w:rsidTr="00234A54">
        <w:trPr>
          <w:trHeight w:val="340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26780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</w:tcPr>
          <w:p w14:paraId="78196E2A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44B34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73E5CCCC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EB62E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4DCFEE3C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34060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</w:tr>
      <w:tr w:rsidR="00172315" w:rsidRPr="009525A9" w14:paraId="07E063CE" w14:textId="77777777" w:rsidTr="00234A54">
        <w:trPr>
          <w:trHeight w:val="340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BA235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</w:tcPr>
          <w:p w14:paraId="752AA3E4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E5D75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10B4469F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5F1A3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5213FD0A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F482A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</w:tr>
      <w:tr w:rsidR="00172315" w:rsidRPr="009525A9" w14:paraId="4DCD55E3" w14:textId="77777777" w:rsidTr="00234A54">
        <w:trPr>
          <w:trHeight w:val="340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18291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</w:tcPr>
          <w:p w14:paraId="25DADF60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83287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2D7737EA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8E1CD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56EB4E7D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EE329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</w:tr>
      <w:tr w:rsidR="00172315" w:rsidRPr="009525A9" w14:paraId="77BAEF94" w14:textId="77777777" w:rsidTr="00234A54">
        <w:trPr>
          <w:trHeight w:val="340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4D5EE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</w:tcPr>
          <w:p w14:paraId="0C6FFDF4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E4219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03EA855D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AF0D0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59C545F6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9C583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</w:tr>
      <w:tr w:rsidR="00172315" w:rsidRPr="009525A9" w14:paraId="098B0994" w14:textId="77777777" w:rsidTr="00234A54">
        <w:trPr>
          <w:trHeight w:val="340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5FB6C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</w:tcPr>
          <w:p w14:paraId="040B530D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DD404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133B836F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DF4F7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171B980D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4E8FE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</w:tr>
      <w:tr w:rsidR="00172315" w:rsidRPr="009525A9" w14:paraId="39B80861" w14:textId="77777777" w:rsidTr="00234A54">
        <w:trPr>
          <w:trHeight w:val="340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B3A2C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</w:tcPr>
          <w:p w14:paraId="01F387CC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D6078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745AC0BF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1588B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40CEC1C2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C1394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</w:tr>
      <w:tr w:rsidR="00172315" w:rsidRPr="009525A9" w14:paraId="61C2665B" w14:textId="77777777" w:rsidTr="00234A54">
        <w:trPr>
          <w:trHeight w:val="340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6557E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</w:tcPr>
          <w:p w14:paraId="2DAA9DF6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AC262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517FDF2D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19651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1F107A85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8F2AB" w14:textId="77777777" w:rsidR="00172315" w:rsidRPr="009525A9" w:rsidRDefault="00172315" w:rsidP="00234A5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31CC0EA" w14:textId="77777777" w:rsidR="00172315" w:rsidRDefault="00172315" w:rsidP="00172315">
      <w:pPr>
        <w:rPr>
          <w:rFonts w:ascii="Arial" w:hAnsi="Arial" w:cs="Arial"/>
          <w:color w:val="2E74B5"/>
          <w:sz w:val="20"/>
          <w:szCs w:val="20"/>
        </w:rPr>
      </w:pPr>
    </w:p>
    <w:p w14:paraId="01FDEEA6" w14:textId="59B8FCC7" w:rsidR="00172315" w:rsidRPr="00E23531" w:rsidRDefault="00172315" w:rsidP="00172315">
      <w:pPr>
        <w:jc w:val="both"/>
        <w:rPr>
          <w:rFonts w:ascii="Arial" w:hAnsi="Arial" w:cs="Arial"/>
          <w:sz w:val="20"/>
          <w:szCs w:val="20"/>
        </w:rPr>
      </w:pPr>
      <w:r w:rsidRPr="00E23531">
        <w:rPr>
          <w:rFonts w:ascii="Arial" w:hAnsi="Arial" w:cs="Arial"/>
          <w:sz w:val="20"/>
          <w:szCs w:val="20"/>
        </w:rPr>
        <w:t xml:space="preserve">Anexos: </w:t>
      </w:r>
      <w:r w:rsidR="00E23531" w:rsidRPr="00E23531">
        <w:rPr>
          <w:rFonts w:ascii="Arial" w:hAnsi="Arial" w:cs="Arial"/>
          <w:sz w:val="20"/>
          <w:szCs w:val="20"/>
        </w:rPr>
        <w:t>listas de asistencia</w:t>
      </w:r>
    </w:p>
    <w:p w14:paraId="2551BF80" w14:textId="71A183C5" w:rsidR="00172315" w:rsidRDefault="00172315" w:rsidP="00172315">
      <w:pPr>
        <w:jc w:val="both"/>
        <w:rPr>
          <w:rFonts w:ascii="Arial" w:hAnsi="Arial" w:cs="Arial"/>
          <w:sz w:val="20"/>
          <w:szCs w:val="20"/>
        </w:rPr>
      </w:pPr>
      <w:r w:rsidRPr="00E23531">
        <w:rPr>
          <w:rFonts w:ascii="Arial" w:hAnsi="Arial" w:cs="Arial"/>
          <w:sz w:val="20"/>
          <w:szCs w:val="20"/>
        </w:rPr>
        <w:t xml:space="preserve">Elaboró: </w:t>
      </w:r>
      <w:r w:rsidR="00E23531" w:rsidRPr="00E23531">
        <w:rPr>
          <w:rFonts w:ascii="Arial" w:hAnsi="Arial" w:cs="Arial"/>
          <w:sz w:val="20"/>
          <w:szCs w:val="20"/>
        </w:rPr>
        <w:t>Ivonne Yamile Martínez Rodríguez</w:t>
      </w:r>
      <w:r w:rsidR="00E23531">
        <w:rPr>
          <w:rFonts w:ascii="Arial" w:hAnsi="Arial" w:cs="Arial"/>
          <w:sz w:val="20"/>
          <w:szCs w:val="20"/>
        </w:rPr>
        <w:t>. Proyecto 7745</w:t>
      </w:r>
    </w:p>
    <w:p w14:paraId="24CAD024" w14:textId="77777777" w:rsidR="00E23531" w:rsidRPr="00E23531" w:rsidRDefault="00E23531" w:rsidP="00172315">
      <w:pPr>
        <w:jc w:val="both"/>
        <w:rPr>
          <w:rFonts w:ascii="Arial" w:hAnsi="Arial" w:cs="Arial"/>
          <w:i/>
          <w:sz w:val="20"/>
          <w:szCs w:val="20"/>
        </w:rPr>
      </w:pPr>
    </w:p>
    <w:sectPr w:rsidR="00E23531" w:rsidRPr="00E23531" w:rsidSect="00A815B1">
      <w:headerReference w:type="default" r:id="rId8"/>
      <w:footerReference w:type="default" r:id="rId9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1289A" w14:textId="77777777" w:rsidR="00095000" w:rsidRDefault="00095000" w:rsidP="00EB3518">
      <w:pPr>
        <w:spacing w:after="0" w:line="240" w:lineRule="auto"/>
      </w:pPr>
      <w:r>
        <w:separator/>
      </w:r>
    </w:p>
  </w:endnote>
  <w:endnote w:type="continuationSeparator" w:id="0">
    <w:p w14:paraId="43D1AAB5" w14:textId="77777777" w:rsidR="00095000" w:rsidRDefault="00095000" w:rsidP="00EB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0A905" w14:textId="52EC9B2A" w:rsidR="00EB3518" w:rsidRDefault="00D4666C" w:rsidP="00D348CF">
    <w:pPr>
      <w:pStyle w:val="Piedepgina"/>
      <w:jc w:val="center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156ABD4B" wp14:editId="2D27A000">
          <wp:simplePos x="0" y="0"/>
          <wp:positionH relativeFrom="margin">
            <wp:posOffset>-455930</wp:posOffset>
          </wp:positionH>
          <wp:positionV relativeFrom="margin">
            <wp:posOffset>6912610</wp:posOffset>
          </wp:positionV>
          <wp:extent cx="6730365" cy="1168400"/>
          <wp:effectExtent l="0" t="0" r="63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 de p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0365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050F716" w14:textId="1E919ACE" w:rsidR="00EB3518" w:rsidRDefault="00EB35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EBDB0" w14:textId="77777777" w:rsidR="00095000" w:rsidRDefault="00095000" w:rsidP="00EB3518">
      <w:pPr>
        <w:spacing w:after="0" w:line="240" w:lineRule="auto"/>
      </w:pPr>
      <w:r>
        <w:separator/>
      </w:r>
    </w:p>
  </w:footnote>
  <w:footnote w:type="continuationSeparator" w:id="0">
    <w:p w14:paraId="242F9072" w14:textId="77777777" w:rsidR="00095000" w:rsidRDefault="00095000" w:rsidP="00EB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AA7BD" w14:textId="0918B62C" w:rsidR="00BC15DD" w:rsidRDefault="00533BB8" w:rsidP="00415BE0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163CA84E" wp14:editId="5375CA62">
          <wp:extent cx="3075961" cy="683895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-blanco-y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367" cy="68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5A61C0" w14:textId="3BB6B747" w:rsidR="00415BE0" w:rsidRPr="009E3174" w:rsidRDefault="00415BE0" w:rsidP="00415BE0">
    <w:pPr>
      <w:spacing w:after="0"/>
      <w:jc w:val="right"/>
      <w:rPr>
        <w:rFonts w:ascii="Arial" w:hAnsi="Arial" w:cs="Arial"/>
        <w:sz w:val="18"/>
        <w:szCs w:val="18"/>
      </w:rPr>
    </w:pPr>
    <w:r w:rsidRPr="009E3174">
      <w:rPr>
        <w:rFonts w:ascii="Arial" w:hAnsi="Arial" w:cs="Arial"/>
        <w:sz w:val="18"/>
        <w:szCs w:val="18"/>
      </w:rPr>
      <w:t>FOR-</w:t>
    </w:r>
    <w:r w:rsidR="0005200F" w:rsidRPr="009E3174">
      <w:rPr>
        <w:rFonts w:ascii="Arial" w:hAnsi="Arial" w:cs="Arial"/>
        <w:sz w:val="18"/>
        <w:szCs w:val="18"/>
      </w:rPr>
      <w:t>GD-00</w:t>
    </w:r>
    <w:r w:rsidR="00380C5D" w:rsidRPr="009E3174">
      <w:rPr>
        <w:rFonts w:ascii="Arial" w:hAnsi="Arial" w:cs="Arial"/>
        <w:sz w:val="18"/>
        <w:szCs w:val="18"/>
      </w:rPr>
      <w:t>2</w:t>
    </w:r>
  </w:p>
  <w:p w14:paraId="1943277F" w14:textId="5A64EA4D" w:rsidR="00415BE0" w:rsidRPr="009E3174" w:rsidRDefault="00415BE0" w:rsidP="00415BE0">
    <w:pPr>
      <w:spacing w:after="0"/>
      <w:jc w:val="right"/>
      <w:rPr>
        <w:sz w:val="18"/>
        <w:szCs w:val="18"/>
      </w:rPr>
    </w:pPr>
    <w:r w:rsidRPr="009E3174">
      <w:rPr>
        <w:rFonts w:ascii="Arial" w:hAnsi="Arial" w:cs="Arial"/>
        <w:sz w:val="18"/>
        <w:szCs w:val="18"/>
      </w:rPr>
      <w:t xml:space="preserve">Página </w:t>
    </w:r>
    <w:r w:rsidRPr="009E3174">
      <w:rPr>
        <w:rFonts w:ascii="Arial" w:hAnsi="Arial" w:cs="Arial"/>
        <w:sz w:val="18"/>
        <w:szCs w:val="18"/>
      </w:rPr>
      <w:fldChar w:fldCharType="begin"/>
    </w:r>
    <w:r w:rsidRPr="009E3174">
      <w:rPr>
        <w:rFonts w:ascii="Arial" w:hAnsi="Arial" w:cs="Arial"/>
        <w:sz w:val="18"/>
        <w:szCs w:val="18"/>
      </w:rPr>
      <w:instrText xml:space="preserve"> PAGE </w:instrText>
    </w:r>
    <w:r w:rsidRPr="009E3174">
      <w:rPr>
        <w:rFonts w:ascii="Arial" w:hAnsi="Arial" w:cs="Arial"/>
        <w:sz w:val="18"/>
        <w:szCs w:val="18"/>
      </w:rPr>
      <w:fldChar w:fldCharType="separate"/>
    </w:r>
    <w:r w:rsidR="00CA306E">
      <w:rPr>
        <w:rFonts w:ascii="Arial" w:hAnsi="Arial" w:cs="Arial"/>
        <w:noProof/>
        <w:sz w:val="18"/>
        <w:szCs w:val="18"/>
      </w:rPr>
      <w:t>5</w:t>
    </w:r>
    <w:r w:rsidRPr="009E3174">
      <w:rPr>
        <w:rFonts w:ascii="Arial" w:hAnsi="Arial" w:cs="Arial"/>
        <w:sz w:val="18"/>
        <w:szCs w:val="18"/>
      </w:rPr>
      <w:fldChar w:fldCharType="end"/>
    </w:r>
    <w:r w:rsidRPr="009E3174">
      <w:rPr>
        <w:rFonts w:ascii="Arial" w:hAnsi="Arial" w:cs="Arial"/>
        <w:sz w:val="18"/>
        <w:szCs w:val="18"/>
      </w:rPr>
      <w:t xml:space="preserve"> de </w:t>
    </w:r>
    <w:r w:rsidRPr="009E3174">
      <w:rPr>
        <w:rFonts w:ascii="Arial" w:hAnsi="Arial" w:cs="Arial"/>
        <w:sz w:val="18"/>
        <w:szCs w:val="18"/>
      </w:rPr>
      <w:fldChar w:fldCharType="begin"/>
    </w:r>
    <w:r w:rsidRPr="009E3174">
      <w:rPr>
        <w:rFonts w:ascii="Arial" w:hAnsi="Arial" w:cs="Arial"/>
        <w:sz w:val="18"/>
        <w:szCs w:val="18"/>
      </w:rPr>
      <w:instrText xml:space="preserve"> NUMPAGES </w:instrText>
    </w:r>
    <w:r w:rsidRPr="009E3174">
      <w:rPr>
        <w:rFonts w:ascii="Arial" w:hAnsi="Arial" w:cs="Arial"/>
        <w:sz w:val="18"/>
        <w:szCs w:val="18"/>
      </w:rPr>
      <w:fldChar w:fldCharType="separate"/>
    </w:r>
    <w:r w:rsidR="00CA306E">
      <w:rPr>
        <w:rFonts w:ascii="Arial" w:hAnsi="Arial" w:cs="Arial"/>
        <w:noProof/>
        <w:sz w:val="18"/>
        <w:szCs w:val="18"/>
      </w:rPr>
      <w:t>5</w:t>
    </w:r>
    <w:r w:rsidRPr="009E3174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12099"/>
    <w:multiLevelType w:val="hybridMultilevel"/>
    <w:tmpl w:val="344CBA8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8CF"/>
    <w:rsid w:val="000044F9"/>
    <w:rsid w:val="00007AAF"/>
    <w:rsid w:val="00042F69"/>
    <w:rsid w:val="0005200F"/>
    <w:rsid w:val="00062DD2"/>
    <w:rsid w:val="00065BB9"/>
    <w:rsid w:val="000669E2"/>
    <w:rsid w:val="00067878"/>
    <w:rsid w:val="00091E97"/>
    <w:rsid w:val="00095000"/>
    <w:rsid w:val="000B3BA0"/>
    <w:rsid w:val="000D7DFB"/>
    <w:rsid w:val="00113AF2"/>
    <w:rsid w:val="00127E1C"/>
    <w:rsid w:val="0013153E"/>
    <w:rsid w:val="00134A59"/>
    <w:rsid w:val="00170D6E"/>
    <w:rsid w:val="00172315"/>
    <w:rsid w:val="00172CF3"/>
    <w:rsid w:val="00177EF9"/>
    <w:rsid w:val="00186F53"/>
    <w:rsid w:val="001B59DC"/>
    <w:rsid w:val="001C1E3B"/>
    <w:rsid w:val="001E2F5D"/>
    <w:rsid w:val="001E68E5"/>
    <w:rsid w:val="00205B3C"/>
    <w:rsid w:val="00207105"/>
    <w:rsid w:val="002112D7"/>
    <w:rsid w:val="0022793C"/>
    <w:rsid w:val="00246F46"/>
    <w:rsid w:val="00294E97"/>
    <w:rsid w:val="002A5919"/>
    <w:rsid w:val="0030306F"/>
    <w:rsid w:val="00304081"/>
    <w:rsid w:val="003105F6"/>
    <w:rsid w:val="00314012"/>
    <w:rsid w:val="00331559"/>
    <w:rsid w:val="00333F6D"/>
    <w:rsid w:val="00346616"/>
    <w:rsid w:val="0037104E"/>
    <w:rsid w:val="00371CCC"/>
    <w:rsid w:val="00372290"/>
    <w:rsid w:val="00380C5D"/>
    <w:rsid w:val="00393586"/>
    <w:rsid w:val="0039369C"/>
    <w:rsid w:val="00393A75"/>
    <w:rsid w:val="003A05D4"/>
    <w:rsid w:val="003A13D8"/>
    <w:rsid w:val="003D4937"/>
    <w:rsid w:val="004037F7"/>
    <w:rsid w:val="00415BE0"/>
    <w:rsid w:val="00417EBE"/>
    <w:rsid w:val="004812D4"/>
    <w:rsid w:val="004B442B"/>
    <w:rsid w:val="004C233F"/>
    <w:rsid w:val="004D44F7"/>
    <w:rsid w:val="004D6AEB"/>
    <w:rsid w:val="00516F01"/>
    <w:rsid w:val="00531CEC"/>
    <w:rsid w:val="00533BB8"/>
    <w:rsid w:val="00562EF0"/>
    <w:rsid w:val="00584E62"/>
    <w:rsid w:val="00597458"/>
    <w:rsid w:val="005A3475"/>
    <w:rsid w:val="005C32FF"/>
    <w:rsid w:val="005E55AA"/>
    <w:rsid w:val="00623231"/>
    <w:rsid w:val="00631A96"/>
    <w:rsid w:val="00637C99"/>
    <w:rsid w:val="0064472D"/>
    <w:rsid w:val="00662E1B"/>
    <w:rsid w:val="006644DF"/>
    <w:rsid w:val="00684400"/>
    <w:rsid w:val="00684AA1"/>
    <w:rsid w:val="006A4878"/>
    <w:rsid w:val="006A5F4D"/>
    <w:rsid w:val="006A6878"/>
    <w:rsid w:val="006C44BC"/>
    <w:rsid w:val="006D61F1"/>
    <w:rsid w:val="006E7D23"/>
    <w:rsid w:val="006F43E1"/>
    <w:rsid w:val="00712D9D"/>
    <w:rsid w:val="007143B6"/>
    <w:rsid w:val="007352EA"/>
    <w:rsid w:val="007916DA"/>
    <w:rsid w:val="00797BEE"/>
    <w:rsid w:val="007A4ED1"/>
    <w:rsid w:val="007B2253"/>
    <w:rsid w:val="007B47B4"/>
    <w:rsid w:val="007D39AC"/>
    <w:rsid w:val="007D4360"/>
    <w:rsid w:val="00805001"/>
    <w:rsid w:val="00832076"/>
    <w:rsid w:val="00837735"/>
    <w:rsid w:val="00863A76"/>
    <w:rsid w:val="008D56D2"/>
    <w:rsid w:val="008F7333"/>
    <w:rsid w:val="00923D0B"/>
    <w:rsid w:val="00923DDD"/>
    <w:rsid w:val="009273BD"/>
    <w:rsid w:val="00980B18"/>
    <w:rsid w:val="009D6DAC"/>
    <w:rsid w:val="009E3174"/>
    <w:rsid w:val="009E4871"/>
    <w:rsid w:val="00A050B2"/>
    <w:rsid w:val="00A22E49"/>
    <w:rsid w:val="00A259AF"/>
    <w:rsid w:val="00A475AC"/>
    <w:rsid w:val="00A57301"/>
    <w:rsid w:val="00A815B1"/>
    <w:rsid w:val="00AB1B5D"/>
    <w:rsid w:val="00AB2BCF"/>
    <w:rsid w:val="00AC76DB"/>
    <w:rsid w:val="00B27067"/>
    <w:rsid w:val="00B30402"/>
    <w:rsid w:val="00B52F79"/>
    <w:rsid w:val="00B5754A"/>
    <w:rsid w:val="00B828D2"/>
    <w:rsid w:val="00B84C90"/>
    <w:rsid w:val="00B97511"/>
    <w:rsid w:val="00BA065C"/>
    <w:rsid w:val="00BC15DD"/>
    <w:rsid w:val="00BC2B40"/>
    <w:rsid w:val="00BD3C95"/>
    <w:rsid w:val="00BD5C8C"/>
    <w:rsid w:val="00BF6790"/>
    <w:rsid w:val="00BF6DA6"/>
    <w:rsid w:val="00C02402"/>
    <w:rsid w:val="00C43BD9"/>
    <w:rsid w:val="00CA306E"/>
    <w:rsid w:val="00CB4821"/>
    <w:rsid w:val="00CD61E8"/>
    <w:rsid w:val="00D23640"/>
    <w:rsid w:val="00D348CF"/>
    <w:rsid w:val="00D40F58"/>
    <w:rsid w:val="00D4666C"/>
    <w:rsid w:val="00D54847"/>
    <w:rsid w:val="00DC0BF7"/>
    <w:rsid w:val="00DE679E"/>
    <w:rsid w:val="00E23531"/>
    <w:rsid w:val="00E6546A"/>
    <w:rsid w:val="00E82A8D"/>
    <w:rsid w:val="00EB3518"/>
    <w:rsid w:val="00EC0C6A"/>
    <w:rsid w:val="00EC186C"/>
    <w:rsid w:val="00EC3E4F"/>
    <w:rsid w:val="00EC6B6A"/>
    <w:rsid w:val="00F47492"/>
    <w:rsid w:val="00F57980"/>
    <w:rsid w:val="00F87312"/>
    <w:rsid w:val="00F93027"/>
    <w:rsid w:val="00FA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976A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F53"/>
    <w:pPr>
      <w:spacing w:after="200" w:line="276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35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3518"/>
  </w:style>
  <w:style w:type="paragraph" w:styleId="Piedepgina">
    <w:name w:val="footer"/>
    <w:basedOn w:val="Normal"/>
    <w:link w:val="PiedepginaCar"/>
    <w:uiPriority w:val="99"/>
    <w:unhideWhenUsed/>
    <w:rsid w:val="00EB35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518"/>
  </w:style>
  <w:style w:type="paragraph" w:styleId="Textodeglobo">
    <w:name w:val="Balloon Text"/>
    <w:basedOn w:val="Normal"/>
    <w:link w:val="TextodegloboCar"/>
    <w:uiPriority w:val="99"/>
    <w:semiHidden/>
    <w:unhideWhenUsed/>
    <w:rsid w:val="00EB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B3518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304081"/>
    <w:pPr>
      <w:spacing w:after="160" w:line="240" w:lineRule="exact"/>
    </w:pPr>
    <w:rPr>
      <w:rFonts w:ascii="Verdana" w:eastAsia="Times New Roman" w:hAnsi="Verdana"/>
      <w:sz w:val="20"/>
      <w:szCs w:val="20"/>
      <w:lang w:val="es-ES"/>
    </w:rPr>
  </w:style>
  <w:style w:type="character" w:styleId="Nmerodepgina">
    <w:name w:val="page number"/>
    <w:basedOn w:val="Fuentedeprrafopredeter"/>
    <w:rsid w:val="00304081"/>
  </w:style>
  <w:style w:type="character" w:styleId="Hipervnculo">
    <w:name w:val="Hyperlink"/>
    <w:uiPriority w:val="99"/>
    <w:unhideWhenUsed/>
    <w:rsid w:val="00531CEC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F47492"/>
    <w:rPr>
      <w:rFonts w:ascii="Cambria" w:eastAsia="MS Mincho" w:hAnsi="Cambria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qFormat/>
    <w:rsid w:val="00805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1EE4C6-3DD9-4B7A-8D2D-0E23C08E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1006</Words>
  <Characters>5535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1</vt:lpstr>
    </vt:vector>
  </TitlesOfParts>
  <Company/>
  <LinksUpToDate>false</LinksUpToDate>
  <CharactersWithSpaces>6528</CharactersWithSpaces>
  <SharedDoc>false</SharedDoc>
  <HLinks>
    <vt:vector size="6" baseType="variant">
      <vt:variant>
        <vt:i4>2490463</vt:i4>
      </vt:variant>
      <vt:variant>
        <vt:i4>0</vt:i4>
      </vt:variant>
      <vt:variant>
        <vt:i4>0</vt:i4>
      </vt:variant>
      <vt:variant>
        <vt:i4>5</vt:i4>
      </vt:variant>
      <vt:variant>
        <vt:lpwstr>mailto:nmaldonado@sdis.gov.co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1</dc:title>
  <dc:subject/>
  <dc:creator>Mabby Nathalia Torres Hernandez</dc:creator>
  <cp:keywords/>
  <cp:lastModifiedBy>Marcela Maria Medina Avella</cp:lastModifiedBy>
  <cp:revision>2</cp:revision>
  <cp:lastPrinted>2018-01-25T20:48:00Z</cp:lastPrinted>
  <dcterms:created xsi:type="dcterms:W3CDTF">2021-02-12T16:24:00Z</dcterms:created>
  <dcterms:modified xsi:type="dcterms:W3CDTF">2021-02-12T16:24:00Z</dcterms:modified>
</cp:coreProperties>
</file>