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CE" w:rsidRDefault="00A51F52" w:rsidP="00A51F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MT" w:hAnsi="Century Gothic" w:cs="ArialMT"/>
          <w:sz w:val="24"/>
          <w:szCs w:val="24"/>
        </w:rPr>
      </w:pPr>
      <w:r w:rsidRPr="00A51F52">
        <w:rPr>
          <w:rFonts w:ascii="Century Gothic" w:eastAsia="ArialMT" w:hAnsi="Century Gothic" w:cs="ArialMT"/>
          <w:sz w:val="24"/>
          <w:szCs w:val="24"/>
        </w:rPr>
        <w:t>La riqueza artística de la localidad de Santa</w:t>
      </w:r>
      <w:r>
        <w:rPr>
          <w:rFonts w:ascii="Century Gothic" w:eastAsia="ArialMT" w:hAnsi="Century Gothic" w:cs="ArialMT"/>
          <w:sz w:val="24"/>
          <w:szCs w:val="24"/>
        </w:rPr>
        <w:t xml:space="preserve"> </w:t>
      </w:r>
      <w:r w:rsidRPr="00A51F52">
        <w:rPr>
          <w:rFonts w:ascii="Century Gothic" w:eastAsia="ArialMT" w:hAnsi="Century Gothic" w:cs="ArialMT"/>
          <w:sz w:val="24"/>
          <w:szCs w:val="24"/>
        </w:rPr>
        <w:t>F</w:t>
      </w:r>
      <w:r>
        <w:rPr>
          <w:rFonts w:ascii="Century Gothic" w:eastAsia="ArialMT" w:hAnsi="Century Gothic" w:cs="ArialMT"/>
          <w:sz w:val="24"/>
          <w:szCs w:val="24"/>
        </w:rPr>
        <w:t>e</w:t>
      </w:r>
      <w:r w:rsidRPr="00A51F52">
        <w:rPr>
          <w:rFonts w:ascii="Century Gothic" w:eastAsia="ArialMT" w:hAnsi="Century Gothic" w:cs="ArialMT"/>
          <w:sz w:val="24"/>
          <w:szCs w:val="24"/>
        </w:rPr>
        <w:t xml:space="preserve"> se manifiesta a través de sus equipamientos y</w:t>
      </w:r>
      <w:r>
        <w:rPr>
          <w:rFonts w:ascii="Century Gothic" w:eastAsia="ArialMT" w:hAnsi="Century Gothic" w:cs="ArialMT"/>
          <w:sz w:val="24"/>
          <w:szCs w:val="24"/>
        </w:rPr>
        <w:t xml:space="preserve"> </w:t>
      </w:r>
      <w:r w:rsidRPr="00A51F52">
        <w:rPr>
          <w:rFonts w:ascii="Century Gothic" w:eastAsia="ArialMT" w:hAnsi="Century Gothic" w:cs="ArialMT"/>
          <w:sz w:val="24"/>
          <w:szCs w:val="24"/>
        </w:rPr>
        <w:t xml:space="preserve">organizaciones artísticas y culturales, tales como la Fundación de la Casa Cultural </w:t>
      </w:r>
      <w:proofErr w:type="spellStart"/>
      <w:r w:rsidRPr="00A51F52">
        <w:rPr>
          <w:rFonts w:ascii="Century Gothic" w:eastAsia="ArialMT" w:hAnsi="Century Gothic" w:cs="ArialMT"/>
          <w:sz w:val="24"/>
          <w:szCs w:val="24"/>
        </w:rPr>
        <w:t>Teatrova</w:t>
      </w:r>
      <w:proofErr w:type="spellEnd"/>
      <w:r w:rsidRPr="00A51F52">
        <w:rPr>
          <w:rFonts w:ascii="Century Gothic" w:eastAsia="ArialMT" w:hAnsi="Century Gothic" w:cs="ArialMT"/>
          <w:sz w:val="24"/>
          <w:szCs w:val="24"/>
        </w:rPr>
        <w:t>, el Teatro</w:t>
      </w:r>
      <w:r>
        <w:rPr>
          <w:rFonts w:ascii="Century Gothic" w:eastAsia="ArialMT" w:hAnsi="Century Gothic" w:cs="ArialMT"/>
          <w:sz w:val="24"/>
          <w:szCs w:val="24"/>
        </w:rPr>
        <w:t xml:space="preserve"> </w:t>
      </w:r>
      <w:r w:rsidRPr="00A51F52">
        <w:rPr>
          <w:rFonts w:ascii="Century Gothic" w:eastAsia="ArialMT" w:hAnsi="Century Gothic" w:cs="ArialMT"/>
          <w:sz w:val="24"/>
          <w:szCs w:val="24"/>
        </w:rPr>
        <w:t xml:space="preserve">Municipal Jorge Eliécer Gaitán, el Teatro </w:t>
      </w:r>
      <w:proofErr w:type="spellStart"/>
      <w:r w:rsidRPr="00A51F52">
        <w:rPr>
          <w:rFonts w:ascii="Century Gothic" w:eastAsia="ArialMT" w:hAnsi="Century Gothic" w:cs="ArialMT"/>
          <w:sz w:val="24"/>
          <w:szCs w:val="24"/>
        </w:rPr>
        <w:t>Faenza</w:t>
      </w:r>
      <w:proofErr w:type="spellEnd"/>
      <w:r w:rsidRPr="00A51F52">
        <w:rPr>
          <w:rFonts w:ascii="Century Gothic" w:eastAsia="ArialMT" w:hAnsi="Century Gothic" w:cs="ArialMT"/>
          <w:sz w:val="24"/>
          <w:szCs w:val="24"/>
        </w:rPr>
        <w:t>, el Teatro el Parque, La Media Torta y otras salas</w:t>
      </w:r>
      <w:r>
        <w:rPr>
          <w:rFonts w:ascii="Century Gothic" w:eastAsia="ArialMT" w:hAnsi="Century Gothic" w:cs="ArialMT"/>
          <w:sz w:val="24"/>
          <w:szCs w:val="24"/>
        </w:rPr>
        <w:t xml:space="preserve"> </w:t>
      </w:r>
      <w:r w:rsidRPr="00A51F52">
        <w:rPr>
          <w:rFonts w:ascii="Century Gothic" w:eastAsia="ArialMT" w:hAnsi="Century Gothic" w:cs="ArialMT"/>
          <w:sz w:val="24"/>
          <w:szCs w:val="24"/>
        </w:rPr>
        <w:t>que hacen parte de la inmensa riqueza artística, cultural y patrimonial de la localidad.</w:t>
      </w:r>
      <w:r>
        <w:rPr>
          <w:rFonts w:ascii="Century Gothic" w:eastAsia="ArialMT" w:hAnsi="Century Gothic" w:cs="ArialMT"/>
          <w:sz w:val="24"/>
          <w:szCs w:val="24"/>
        </w:rPr>
        <w:t xml:space="preserve"> Se cuentan con variados colectivos culturales y se pueden visualizar: </w:t>
      </w:r>
    </w:p>
    <w:p w:rsidR="00A51F52" w:rsidRDefault="00A51F52" w:rsidP="00A51F5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MT" w:hAnsi="Century Gothic" w:cs="ArialMT"/>
          <w:sz w:val="24"/>
          <w:szCs w:val="24"/>
        </w:rPr>
      </w:pPr>
    </w:p>
    <w:p w:rsidR="00A51F52" w:rsidRPr="00A51F52" w:rsidRDefault="00A51F52" w:rsidP="00A51F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eastAsia="ArialMT" w:hAnsi="Century Gothic" w:cs="ArialMT"/>
          <w:sz w:val="24"/>
          <w:szCs w:val="24"/>
        </w:rPr>
      </w:pPr>
      <w:r w:rsidRPr="00A51F52">
        <w:rPr>
          <w:rFonts w:ascii="Century Gothic" w:eastAsia="ArialMT" w:hAnsi="Century Gothic" w:cs="ArialMT"/>
          <w:sz w:val="24"/>
          <w:szCs w:val="24"/>
        </w:rPr>
        <w:t>955 empresas del campo cultural.</w:t>
      </w:r>
    </w:p>
    <w:p w:rsidR="00A51F52" w:rsidRPr="00A51F52" w:rsidRDefault="00A51F52" w:rsidP="00A51F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eastAsia="ArialMT" w:hAnsi="Century Gothic" w:cs="ArialMT"/>
          <w:sz w:val="24"/>
          <w:szCs w:val="24"/>
        </w:rPr>
      </w:pPr>
      <w:r w:rsidRPr="00A51F52">
        <w:rPr>
          <w:rFonts w:ascii="Century Gothic" w:eastAsia="ArialMT" w:hAnsi="Century Gothic" w:cs="ArialMT"/>
          <w:sz w:val="24"/>
          <w:szCs w:val="24"/>
        </w:rPr>
        <w:t>859 microempresas</w:t>
      </w:r>
    </w:p>
    <w:p w:rsidR="00A51F52" w:rsidRPr="00A51F52" w:rsidRDefault="00A51F52" w:rsidP="00A51F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eastAsia="ArialMT" w:hAnsi="Century Gothic" w:cs="ArialMT"/>
          <w:sz w:val="24"/>
          <w:szCs w:val="24"/>
        </w:rPr>
      </w:pPr>
      <w:r w:rsidRPr="00A51F52">
        <w:rPr>
          <w:rFonts w:ascii="Century Gothic" w:eastAsia="ArialMT" w:hAnsi="Century Gothic" w:cs="ArialMT"/>
          <w:sz w:val="24"/>
          <w:szCs w:val="24"/>
        </w:rPr>
        <w:t>95 agrupaciones.</w:t>
      </w:r>
    </w:p>
    <w:p w:rsidR="00A51F52" w:rsidRPr="00A51F52" w:rsidRDefault="00A51F52" w:rsidP="00A51F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eastAsia="ArialMT" w:hAnsi="Century Gothic" w:cs="ArialMT"/>
          <w:sz w:val="24"/>
          <w:szCs w:val="24"/>
        </w:rPr>
      </w:pPr>
      <w:r w:rsidRPr="00A51F52">
        <w:rPr>
          <w:rFonts w:ascii="Century Gothic" w:eastAsia="ArialMT" w:hAnsi="Century Gothic" w:cs="ArialMT"/>
          <w:sz w:val="24"/>
          <w:szCs w:val="24"/>
        </w:rPr>
        <w:t>Tiene 2 Distritos Creativos de aglomeraci</w:t>
      </w:r>
      <w:r w:rsidRPr="00A51F52">
        <w:rPr>
          <w:rFonts w:ascii="Century Gothic" w:eastAsia="ArialMT" w:hAnsi="Century Gothic" w:cs="ArialMT" w:hint="eastAsia"/>
          <w:sz w:val="24"/>
          <w:szCs w:val="24"/>
        </w:rPr>
        <w:t>ó</w:t>
      </w:r>
      <w:r w:rsidRPr="00A51F52">
        <w:rPr>
          <w:rFonts w:ascii="Century Gothic" w:eastAsia="ArialMT" w:hAnsi="Century Gothic" w:cs="ArialMT"/>
          <w:sz w:val="24"/>
          <w:szCs w:val="24"/>
        </w:rPr>
        <w:t>n</w:t>
      </w:r>
      <w:r w:rsidRPr="00A51F52">
        <w:rPr>
          <w:rFonts w:ascii="Century Gothic" w:eastAsia="ArialMT" w:hAnsi="Century Gothic" w:cs="ArialMT"/>
          <w:sz w:val="24"/>
          <w:szCs w:val="24"/>
        </w:rPr>
        <w:t xml:space="preserve"> </w:t>
      </w:r>
      <w:r w:rsidRPr="00A51F52">
        <w:rPr>
          <w:rFonts w:ascii="Century Gothic" w:eastAsia="ArialMT" w:hAnsi="Century Gothic" w:cs="ArialMT"/>
          <w:sz w:val="24"/>
          <w:szCs w:val="24"/>
        </w:rPr>
        <w:t>espont</w:t>
      </w:r>
      <w:r w:rsidRPr="00A51F52">
        <w:rPr>
          <w:rFonts w:ascii="Century Gothic" w:eastAsia="ArialMT" w:hAnsi="Century Gothic" w:cs="ArialMT" w:hint="eastAsia"/>
          <w:sz w:val="24"/>
          <w:szCs w:val="24"/>
        </w:rPr>
        <w:t>á</w:t>
      </w:r>
      <w:r w:rsidRPr="00A51F52">
        <w:rPr>
          <w:rFonts w:ascii="Century Gothic" w:eastAsia="ArialMT" w:hAnsi="Century Gothic" w:cs="ArialMT"/>
          <w:sz w:val="24"/>
          <w:szCs w:val="24"/>
        </w:rPr>
        <w:t>nea: Candelaria-</w:t>
      </w:r>
      <w:r w:rsidRPr="00A51F52">
        <w:rPr>
          <w:rFonts w:ascii="Century Gothic" w:eastAsia="ArialMT" w:hAnsi="Century Gothic" w:cs="ArialMT"/>
          <w:sz w:val="24"/>
          <w:szCs w:val="24"/>
        </w:rPr>
        <w:t xml:space="preserve"> </w:t>
      </w:r>
      <w:r w:rsidRPr="00A51F52">
        <w:rPr>
          <w:rFonts w:ascii="Century Gothic" w:eastAsia="ArialMT" w:hAnsi="Century Gothic" w:cs="ArialMT"/>
          <w:sz w:val="24"/>
          <w:szCs w:val="24"/>
        </w:rPr>
        <w:t>Santa</w:t>
      </w:r>
      <w:r w:rsidRPr="00A51F52">
        <w:rPr>
          <w:rFonts w:ascii="Century Gothic" w:eastAsia="ArialMT" w:hAnsi="Century Gothic" w:cs="ArialMT"/>
          <w:sz w:val="24"/>
          <w:szCs w:val="24"/>
        </w:rPr>
        <w:t xml:space="preserve"> Fe</w:t>
      </w:r>
      <w:r w:rsidRPr="00A51F52">
        <w:rPr>
          <w:rFonts w:ascii="Century Gothic" w:eastAsia="ArialMT" w:hAnsi="Century Gothic" w:cs="ArialMT"/>
          <w:sz w:val="24"/>
          <w:szCs w:val="24"/>
        </w:rPr>
        <w:t xml:space="preserve"> y Centro</w:t>
      </w:r>
      <w:r w:rsidRPr="00A51F52">
        <w:rPr>
          <w:rFonts w:ascii="Century Gothic" w:eastAsia="ArialMT" w:hAnsi="Century Gothic" w:cs="ArialMT"/>
          <w:sz w:val="24"/>
          <w:szCs w:val="24"/>
        </w:rPr>
        <w:t xml:space="preserve"> </w:t>
      </w:r>
      <w:r w:rsidRPr="00A51F52">
        <w:rPr>
          <w:rFonts w:ascii="Century Gothic" w:eastAsia="ArialMT" w:hAnsi="Century Gothic" w:cs="ArialMT"/>
          <w:sz w:val="24"/>
          <w:szCs w:val="24"/>
        </w:rPr>
        <w:t>Internacional.</w:t>
      </w:r>
    </w:p>
    <w:p w:rsidR="00A51F52" w:rsidRDefault="00A51F52" w:rsidP="00A51F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eastAsia="ArialMT" w:hAnsi="Century Gothic" w:cs="ArialMT"/>
          <w:sz w:val="24"/>
          <w:szCs w:val="24"/>
        </w:rPr>
      </w:pPr>
      <w:r w:rsidRPr="00A51F52">
        <w:rPr>
          <w:rFonts w:ascii="Century Gothic" w:eastAsia="ArialMT" w:hAnsi="Century Gothic" w:cs="ArialMT"/>
          <w:sz w:val="24"/>
          <w:szCs w:val="24"/>
        </w:rPr>
        <w:t>Tiene 56 equipamientos culturales, los cuales</w:t>
      </w:r>
      <w:r w:rsidRPr="00A51F52">
        <w:rPr>
          <w:rFonts w:ascii="Century Gothic" w:eastAsia="ArialMT" w:hAnsi="Century Gothic" w:cs="ArialMT"/>
          <w:sz w:val="24"/>
          <w:szCs w:val="24"/>
        </w:rPr>
        <w:t xml:space="preserve"> </w:t>
      </w:r>
      <w:r w:rsidRPr="00A51F52">
        <w:rPr>
          <w:rFonts w:ascii="Century Gothic" w:eastAsia="ArialMT" w:hAnsi="Century Gothic" w:cs="ArialMT"/>
          <w:sz w:val="24"/>
          <w:szCs w:val="24"/>
        </w:rPr>
        <w:t>representan el 9,7% de todo el distrito.</w:t>
      </w:r>
    </w:p>
    <w:p w:rsidR="00A51F52" w:rsidRDefault="00A51F52" w:rsidP="00A51F52">
      <w:pPr>
        <w:autoSpaceDE w:val="0"/>
        <w:autoSpaceDN w:val="0"/>
        <w:adjustRightInd w:val="0"/>
        <w:spacing w:after="0" w:line="240" w:lineRule="auto"/>
        <w:rPr>
          <w:rFonts w:ascii="Century Gothic" w:eastAsia="ArialMT" w:hAnsi="Century Gothic" w:cs="ArialMT"/>
          <w:sz w:val="18"/>
          <w:szCs w:val="18"/>
        </w:rPr>
      </w:pPr>
      <w:r w:rsidRPr="00A51F52">
        <w:rPr>
          <w:rFonts w:ascii="Century Gothic" w:eastAsia="ArialMT" w:hAnsi="Century Gothic" w:cs="ArialMT"/>
          <w:b/>
          <w:bCs/>
          <w:sz w:val="24"/>
          <w:szCs w:val="24"/>
        </w:rPr>
        <w:t>Nota:</w:t>
      </w:r>
      <w:r>
        <w:rPr>
          <w:rFonts w:ascii="Century Gothic" w:eastAsia="ArialMT" w:hAnsi="Century Gothic" w:cs="ArialMT"/>
          <w:sz w:val="24"/>
          <w:szCs w:val="24"/>
        </w:rPr>
        <w:t xml:space="preserve"> </w:t>
      </w:r>
      <w:r w:rsidRPr="00A51F52">
        <w:rPr>
          <w:rFonts w:ascii="Century Gothic" w:eastAsia="ArialMT" w:hAnsi="Century Gothic" w:cs="ArialMT"/>
          <w:sz w:val="18"/>
          <w:szCs w:val="18"/>
        </w:rPr>
        <w:t>Fuentes: Registro Mercantil C</w:t>
      </w:r>
      <w:r w:rsidRPr="00A51F52">
        <w:rPr>
          <w:rFonts w:ascii="Century Gothic" w:eastAsia="ArialMT" w:hAnsi="Century Gothic" w:cs="ArialMT" w:hint="eastAsia"/>
          <w:sz w:val="18"/>
          <w:szCs w:val="18"/>
        </w:rPr>
        <w:t>á</w:t>
      </w:r>
      <w:r w:rsidRPr="00A51F52">
        <w:rPr>
          <w:rFonts w:ascii="Century Gothic" w:eastAsia="ArialMT" w:hAnsi="Century Gothic" w:cs="ArialMT"/>
          <w:sz w:val="18"/>
          <w:szCs w:val="18"/>
        </w:rPr>
        <w:t>mara de Comercio de Bogot</w:t>
      </w:r>
      <w:r w:rsidRPr="00A51F52">
        <w:rPr>
          <w:rFonts w:ascii="Century Gothic" w:eastAsia="ArialMT" w:hAnsi="Century Gothic" w:cs="ArialMT" w:hint="eastAsia"/>
          <w:sz w:val="18"/>
          <w:szCs w:val="18"/>
        </w:rPr>
        <w:t>á</w:t>
      </w:r>
      <w:r w:rsidRPr="00A51F52">
        <w:rPr>
          <w:rFonts w:ascii="Century Gothic" w:eastAsia="ArialMT" w:hAnsi="Century Gothic" w:cs="ArialMT"/>
          <w:sz w:val="18"/>
          <w:szCs w:val="18"/>
        </w:rPr>
        <w:t>, 2017</w:t>
      </w:r>
      <w:r>
        <w:rPr>
          <w:rFonts w:ascii="Century Gothic" w:eastAsia="ArialMT" w:hAnsi="Century Gothic" w:cs="ArialMT"/>
          <w:sz w:val="18"/>
          <w:szCs w:val="18"/>
        </w:rPr>
        <w:t xml:space="preserve">. </w:t>
      </w:r>
      <w:r w:rsidRPr="00A51F52">
        <w:rPr>
          <w:rFonts w:ascii="Century Gothic" w:eastAsia="ArialMT" w:hAnsi="Century Gothic" w:cs="ArialMT"/>
          <w:sz w:val="18"/>
          <w:szCs w:val="18"/>
        </w:rPr>
        <w:t>Instrumento para la identificaci</w:t>
      </w:r>
      <w:r w:rsidRPr="00A51F52">
        <w:rPr>
          <w:rFonts w:ascii="Century Gothic" w:eastAsia="ArialMT" w:hAnsi="Century Gothic" w:cs="ArialMT" w:hint="eastAsia"/>
          <w:sz w:val="18"/>
          <w:szCs w:val="18"/>
        </w:rPr>
        <w:t>ó</w:t>
      </w:r>
      <w:r w:rsidRPr="00A51F52">
        <w:rPr>
          <w:rFonts w:ascii="Century Gothic" w:eastAsia="ArialMT" w:hAnsi="Century Gothic" w:cs="ArialMT"/>
          <w:sz w:val="18"/>
          <w:szCs w:val="18"/>
        </w:rPr>
        <w:t>n de agentes del sector</w:t>
      </w:r>
      <w:r w:rsidRPr="00A51F52">
        <w:rPr>
          <w:rFonts w:ascii="Century Gothic" w:eastAsia="ArialMT" w:hAnsi="Century Gothic" w:cs="ArialMT"/>
          <w:sz w:val="18"/>
          <w:szCs w:val="18"/>
        </w:rPr>
        <w:t xml:space="preserve"> </w:t>
      </w:r>
      <w:r w:rsidRPr="00A51F52">
        <w:rPr>
          <w:rFonts w:ascii="Century Gothic" w:eastAsia="ArialMT" w:hAnsi="Century Gothic" w:cs="ArialMT"/>
          <w:sz w:val="18"/>
          <w:szCs w:val="18"/>
        </w:rPr>
        <w:t>cultural y creativo y las bases de datos del sector, 2020.</w:t>
      </w:r>
      <w:r w:rsidRPr="00A51F52">
        <w:rPr>
          <w:rFonts w:ascii="Century Gothic" w:eastAsia="ArialMT" w:hAnsi="Century Gothic" w:cs="ArialMT"/>
          <w:sz w:val="18"/>
          <w:szCs w:val="18"/>
        </w:rPr>
        <w:t xml:space="preserve"> </w:t>
      </w:r>
      <w:r w:rsidRPr="00A51F52">
        <w:rPr>
          <w:rFonts w:ascii="Century Gothic" w:eastAsia="ArialMT" w:hAnsi="Century Gothic" w:cs="ArialMT"/>
          <w:sz w:val="18"/>
          <w:szCs w:val="18"/>
        </w:rPr>
        <w:t>Sistema de Informaci</w:t>
      </w:r>
      <w:r w:rsidRPr="00A51F52">
        <w:rPr>
          <w:rFonts w:ascii="Century Gothic" w:eastAsia="ArialMT" w:hAnsi="Century Gothic" w:cs="ArialMT" w:hint="eastAsia"/>
          <w:sz w:val="18"/>
          <w:szCs w:val="18"/>
        </w:rPr>
        <w:t>ó</w:t>
      </w:r>
      <w:r w:rsidRPr="00A51F52">
        <w:rPr>
          <w:rFonts w:ascii="Century Gothic" w:eastAsia="ArialMT" w:hAnsi="Century Gothic" w:cs="ArialMT"/>
          <w:sz w:val="18"/>
          <w:szCs w:val="18"/>
        </w:rPr>
        <w:t xml:space="preserve">n Sectorial - </w:t>
      </w:r>
      <w:proofErr w:type="spellStart"/>
      <w:r w:rsidRPr="00A51F52">
        <w:rPr>
          <w:rFonts w:ascii="Century Gothic" w:eastAsia="ArialMT" w:hAnsi="Century Gothic" w:cs="ArialMT"/>
          <w:sz w:val="18"/>
          <w:szCs w:val="18"/>
        </w:rPr>
        <w:t>Siscred</w:t>
      </w:r>
      <w:proofErr w:type="spellEnd"/>
      <w:r w:rsidRPr="00A51F52">
        <w:rPr>
          <w:rFonts w:ascii="Century Gothic" w:eastAsia="ArialMT" w:hAnsi="Century Gothic" w:cs="ArialMT"/>
          <w:sz w:val="18"/>
          <w:szCs w:val="18"/>
        </w:rPr>
        <w:t>, 2019</w:t>
      </w:r>
      <w:r>
        <w:rPr>
          <w:rFonts w:ascii="Century Gothic" w:eastAsia="ArialMT" w:hAnsi="Century Gothic" w:cs="ArialMT"/>
          <w:sz w:val="18"/>
          <w:szCs w:val="18"/>
        </w:rPr>
        <w:t>.</w:t>
      </w:r>
    </w:p>
    <w:p w:rsidR="00A51F52" w:rsidRDefault="00A51F52" w:rsidP="00A51F52">
      <w:pPr>
        <w:autoSpaceDE w:val="0"/>
        <w:autoSpaceDN w:val="0"/>
        <w:adjustRightInd w:val="0"/>
        <w:spacing w:after="0" w:line="240" w:lineRule="auto"/>
        <w:rPr>
          <w:rFonts w:ascii="Century Gothic" w:eastAsia="ArialMT" w:hAnsi="Century Gothic" w:cs="ArialMT"/>
          <w:sz w:val="18"/>
          <w:szCs w:val="18"/>
        </w:rPr>
      </w:pPr>
    </w:p>
    <w:p w:rsidR="00A51F52" w:rsidRDefault="002042E3" w:rsidP="00A51F52">
      <w:pPr>
        <w:autoSpaceDE w:val="0"/>
        <w:autoSpaceDN w:val="0"/>
        <w:adjustRightInd w:val="0"/>
        <w:spacing w:after="0" w:line="240" w:lineRule="auto"/>
        <w:rPr>
          <w:rFonts w:ascii="Century Gothic" w:eastAsia="ArialMT" w:hAnsi="Century Gothic" w:cs="ArialMT"/>
          <w:sz w:val="24"/>
          <w:szCs w:val="24"/>
        </w:rPr>
      </w:pPr>
      <w:r w:rsidRPr="0044273F">
        <w:rPr>
          <w:rFonts w:ascii="Century Gothic" w:eastAsia="ArialMT" w:hAnsi="Century Gothic" w:cs="ArialMT"/>
          <w:sz w:val="24"/>
          <w:szCs w:val="24"/>
        </w:rPr>
        <w:t>El Consejo Local de Arte, Cultura y Patrimonio, reúne la caracterización y/o perfiles de las personas relacionadas con el tema cultural en la localidad</w:t>
      </w:r>
      <w:r w:rsidR="0044273F">
        <w:rPr>
          <w:rFonts w:ascii="Century Gothic" w:eastAsia="ArialMT" w:hAnsi="Century Gothic" w:cs="ArialMT"/>
          <w:sz w:val="24"/>
          <w:szCs w:val="24"/>
        </w:rPr>
        <w:t>; para lo cual se adjunta:</w:t>
      </w:r>
    </w:p>
    <w:p w:rsidR="0044273F" w:rsidRDefault="0044273F" w:rsidP="00A51F52">
      <w:pPr>
        <w:autoSpaceDE w:val="0"/>
        <w:autoSpaceDN w:val="0"/>
        <w:adjustRightInd w:val="0"/>
        <w:spacing w:after="0" w:line="240" w:lineRule="auto"/>
        <w:rPr>
          <w:rFonts w:ascii="Century Gothic" w:eastAsia="ArialMT" w:hAnsi="Century Gothic" w:cs="ArialMT"/>
          <w:sz w:val="24"/>
          <w:szCs w:val="24"/>
        </w:rPr>
      </w:pPr>
    </w:p>
    <w:p w:rsidR="0044273F" w:rsidRPr="00E33405" w:rsidRDefault="0044273F" w:rsidP="00E3340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MT" w:hAnsi="Century Gothic" w:cs="ArialMT"/>
          <w:i/>
          <w:iCs/>
          <w:sz w:val="24"/>
          <w:szCs w:val="24"/>
        </w:rPr>
      </w:pPr>
      <w:r w:rsidRPr="00E33405">
        <w:rPr>
          <w:rFonts w:ascii="Century Gothic" w:eastAsia="ArialMT" w:hAnsi="Century Gothic" w:cs="ArialMT"/>
          <w:sz w:val="24"/>
          <w:szCs w:val="24"/>
        </w:rPr>
        <w:t>Copia del decreto 480 de 2018</w:t>
      </w:r>
      <w:r w:rsidR="00E33405" w:rsidRPr="00E33405">
        <w:rPr>
          <w:rFonts w:ascii="Century Gothic" w:eastAsia="ArialMT" w:hAnsi="Century Gothic" w:cs="ArialMT"/>
          <w:sz w:val="24"/>
          <w:szCs w:val="24"/>
        </w:rPr>
        <w:t xml:space="preserve">: </w:t>
      </w:r>
      <w:r w:rsidR="00E33405" w:rsidRPr="00E33405">
        <w:rPr>
          <w:rFonts w:ascii="Century Gothic" w:hAnsi="Century Gothic" w:cs="Times New Roman"/>
        </w:rPr>
        <w:t>"</w:t>
      </w:r>
      <w:r w:rsidR="00E33405" w:rsidRPr="00E33405">
        <w:rPr>
          <w:rFonts w:ascii="Century Gothic" w:hAnsi="Century Gothic" w:cs="Times New Roman"/>
          <w:i/>
          <w:iCs/>
        </w:rPr>
        <w:t xml:space="preserve">Por medio del cual se modifica, adiciona y reglamenta </w:t>
      </w:r>
      <w:r w:rsidR="00E33405" w:rsidRPr="00E33405">
        <w:rPr>
          <w:rFonts w:ascii="Century Gothic" w:hAnsi="Century Gothic" w:cs="Times New Roman"/>
          <w:i/>
          <w:iCs/>
        </w:rPr>
        <w:t xml:space="preserve">el </w:t>
      </w:r>
      <w:r w:rsidR="00E33405" w:rsidRPr="00E33405">
        <w:rPr>
          <w:rFonts w:ascii="Century Gothic" w:hAnsi="Century Gothic" w:cs="Times New Roman"/>
          <w:i/>
          <w:iCs/>
        </w:rPr>
        <w:t xml:space="preserve">Decreto Distrital 627 de </w:t>
      </w:r>
      <w:proofErr w:type="gramStart"/>
      <w:r w:rsidR="00E33405" w:rsidRPr="00E33405">
        <w:rPr>
          <w:rFonts w:ascii="Century Gothic" w:hAnsi="Century Gothic" w:cs="Times New Roman"/>
          <w:i/>
          <w:iCs/>
        </w:rPr>
        <w:t>2007</w:t>
      </w:r>
      <w:r w:rsidR="00E33405" w:rsidRPr="00E33405">
        <w:rPr>
          <w:rFonts w:ascii="Century Gothic" w:hAnsi="Century Gothic" w:cs="Times New Roman"/>
          <w:i/>
          <w:iCs/>
        </w:rPr>
        <w:t xml:space="preserve"> ,</w:t>
      </w:r>
      <w:proofErr w:type="gramEnd"/>
      <w:r w:rsidR="00E33405" w:rsidRPr="00E33405">
        <w:rPr>
          <w:rFonts w:ascii="Century Gothic" w:hAnsi="Century Gothic" w:cs="Times New Roman"/>
          <w:i/>
          <w:iCs/>
        </w:rPr>
        <w:t xml:space="preserve"> </w:t>
      </w:r>
      <w:r w:rsidR="00E33405" w:rsidRPr="00E33405">
        <w:rPr>
          <w:rFonts w:ascii="Century Gothic" w:hAnsi="Century Gothic" w:cs="Times New Roman"/>
          <w:i/>
          <w:iCs/>
        </w:rPr>
        <w:t xml:space="preserve">Pop </w:t>
      </w:r>
      <w:r w:rsidR="00E33405" w:rsidRPr="00E33405">
        <w:rPr>
          <w:rFonts w:ascii="Century Gothic" w:hAnsi="Century Gothic" w:cs="Times New Roman"/>
          <w:i/>
          <w:iCs/>
        </w:rPr>
        <w:t>el</w:t>
      </w:r>
      <w:r w:rsidR="00E33405" w:rsidRPr="00E33405">
        <w:rPr>
          <w:rFonts w:ascii="Century Gothic" w:hAnsi="Century Gothic" w:cs="Times New Roman"/>
          <w:i/>
          <w:iCs/>
        </w:rPr>
        <w:t xml:space="preserve"> cual se reforma </w:t>
      </w:r>
      <w:r w:rsidR="00E33405" w:rsidRPr="00E33405">
        <w:rPr>
          <w:rFonts w:ascii="Century Gothic" w:hAnsi="Century Gothic" w:cs="Times New Roman"/>
          <w:i/>
          <w:iCs/>
        </w:rPr>
        <w:t>el</w:t>
      </w:r>
      <w:r w:rsidR="00E33405" w:rsidRPr="00E33405">
        <w:rPr>
          <w:rFonts w:ascii="Century Gothic" w:hAnsi="Century Gothic" w:cs="Times New Roman"/>
          <w:i/>
          <w:iCs/>
        </w:rPr>
        <w:t xml:space="preserve"> Sistema Distrital </w:t>
      </w:r>
      <w:r w:rsidR="00E33405" w:rsidRPr="00E33405">
        <w:rPr>
          <w:rFonts w:ascii="Century Gothic" w:hAnsi="Century Gothic" w:cs="Times New Roman"/>
          <w:i/>
          <w:iCs/>
        </w:rPr>
        <w:t>de</w:t>
      </w:r>
      <w:r w:rsidR="00E33405" w:rsidRPr="00E33405">
        <w:rPr>
          <w:rFonts w:ascii="Century Gothic" w:hAnsi="Century Gothic" w:cs="Times New Roman"/>
          <w:i/>
          <w:iCs/>
        </w:rPr>
        <w:t xml:space="preserve"> Cultura y se establece </w:t>
      </w:r>
      <w:r w:rsidR="00E33405" w:rsidRPr="00E33405">
        <w:rPr>
          <w:rFonts w:ascii="Century Gothic" w:hAnsi="Century Gothic" w:cs="Times New Roman"/>
          <w:i/>
          <w:iCs/>
        </w:rPr>
        <w:t xml:space="preserve">el </w:t>
      </w:r>
      <w:r w:rsidR="00E33405" w:rsidRPr="00E33405">
        <w:rPr>
          <w:rFonts w:ascii="Century Gothic" w:hAnsi="Century Gothic" w:cs="Times New Roman"/>
          <w:i/>
          <w:iCs/>
        </w:rPr>
        <w:t xml:space="preserve">Sistema Distrital </w:t>
      </w:r>
      <w:r w:rsidR="00E33405" w:rsidRPr="00E33405">
        <w:rPr>
          <w:rFonts w:ascii="Century Gothic" w:hAnsi="Century Gothic" w:cs="Times New Roman"/>
          <w:i/>
          <w:iCs/>
        </w:rPr>
        <w:t xml:space="preserve">de </w:t>
      </w:r>
      <w:r w:rsidR="00E33405" w:rsidRPr="00E33405">
        <w:rPr>
          <w:rFonts w:ascii="Century Gothic" w:hAnsi="Century Gothic" w:cs="Times New Roman"/>
          <w:i/>
          <w:iCs/>
        </w:rPr>
        <w:t>Arte, Cultura y Patrimonio' y se dictan otras disposiciones"</w:t>
      </w:r>
    </w:p>
    <w:p w:rsidR="00E33405" w:rsidRDefault="00E33405" w:rsidP="00E3340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MT" w:hAnsi="Century Gothic" w:cs="ArialMT"/>
          <w:i/>
          <w:iCs/>
          <w:sz w:val="24"/>
          <w:szCs w:val="24"/>
        </w:rPr>
      </w:pPr>
    </w:p>
    <w:p w:rsidR="00E33405" w:rsidRPr="00D63482" w:rsidRDefault="00E33405" w:rsidP="00D6348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MT" w:hAnsi="Century Gothic" w:cs="ArialMT"/>
          <w:i/>
          <w:iCs/>
          <w:sz w:val="24"/>
          <w:szCs w:val="24"/>
        </w:rPr>
      </w:pPr>
      <w:r w:rsidRPr="00D63482">
        <w:rPr>
          <w:rFonts w:ascii="Century Gothic" w:eastAsia="ArialMT" w:hAnsi="Century Gothic" w:cs="ArialMT"/>
          <w:sz w:val="24"/>
          <w:szCs w:val="24"/>
        </w:rPr>
        <w:t xml:space="preserve">Copia del decreto 627 de 2007: </w:t>
      </w:r>
      <w:r w:rsidR="00D63482" w:rsidRPr="00D63482">
        <w:rPr>
          <w:rFonts w:ascii="Century Gothic" w:eastAsia="ArialMT" w:hAnsi="Century Gothic" w:cs="ArialMT"/>
          <w:i/>
          <w:iCs/>
          <w:sz w:val="24"/>
          <w:szCs w:val="24"/>
        </w:rPr>
        <w:t xml:space="preserve">“por medio del cual se reforma el sistema Distrital de Cultura, </w:t>
      </w:r>
      <w:r w:rsidR="00D63482" w:rsidRPr="00D63482">
        <w:rPr>
          <w:rFonts w:ascii="Century Gothic" w:hAnsi="Century Gothic" w:cs="ZurichBT-RomanCondensed"/>
          <w:i/>
          <w:iCs/>
          <w:color w:val="303030"/>
          <w:sz w:val="24"/>
          <w:szCs w:val="24"/>
        </w:rPr>
        <w:t>se establece</w:t>
      </w:r>
      <w:r w:rsidR="00D63482" w:rsidRPr="00D63482">
        <w:rPr>
          <w:rFonts w:ascii="Century Gothic" w:hAnsi="Century Gothic" w:cs="ZurichBT-RomanCondensed"/>
          <w:i/>
          <w:iCs/>
          <w:color w:val="303030"/>
          <w:sz w:val="24"/>
          <w:szCs w:val="24"/>
        </w:rPr>
        <w:t xml:space="preserve"> </w:t>
      </w:r>
      <w:r w:rsidR="00D63482" w:rsidRPr="00D63482">
        <w:rPr>
          <w:rFonts w:ascii="Century Gothic" w:hAnsi="Century Gothic" w:cs="ZurichBT-RomanCondensed"/>
          <w:i/>
          <w:iCs/>
          <w:color w:val="303030"/>
          <w:sz w:val="24"/>
          <w:szCs w:val="24"/>
        </w:rPr>
        <w:t>el Sistema Distrital de Arte, Cultura y Patrimonio</w:t>
      </w:r>
      <w:r w:rsidR="00D63482" w:rsidRPr="00D63482">
        <w:rPr>
          <w:rFonts w:ascii="Century Gothic" w:hAnsi="Century Gothic" w:cs="ZurichBT-RomanCondensed"/>
          <w:i/>
          <w:iCs/>
          <w:color w:val="303030"/>
          <w:sz w:val="24"/>
          <w:szCs w:val="24"/>
        </w:rPr>
        <w:t>”</w:t>
      </w:r>
    </w:p>
    <w:p w:rsidR="00D63482" w:rsidRPr="00D63482" w:rsidRDefault="00D63482" w:rsidP="00D63482">
      <w:pPr>
        <w:pStyle w:val="Prrafodelista"/>
        <w:rPr>
          <w:rFonts w:ascii="Century Gothic" w:eastAsia="ArialMT" w:hAnsi="Century Gothic" w:cs="ArialMT"/>
          <w:i/>
          <w:iCs/>
          <w:sz w:val="24"/>
          <w:szCs w:val="24"/>
        </w:rPr>
      </w:pPr>
    </w:p>
    <w:p w:rsidR="00D63482" w:rsidRPr="00D63482" w:rsidRDefault="00D63482" w:rsidP="00D6348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MT" w:hAnsi="Century Gothic" w:cs="ArialMT"/>
          <w:i/>
          <w:iCs/>
          <w:sz w:val="24"/>
          <w:szCs w:val="24"/>
        </w:rPr>
      </w:pPr>
      <w:r>
        <w:rPr>
          <w:rFonts w:ascii="Century Gothic" w:eastAsia="ArialMT" w:hAnsi="Century Gothic" w:cs="ArialMT"/>
          <w:sz w:val="24"/>
          <w:szCs w:val="24"/>
        </w:rPr>
        <w:t>Copia del acta ordinaria del Consejo local de Arte, Cultura y patrimonio.</w:t>
      </w:r>
    </w:p>
    <w:p w:rsidR="00D63482" w:rsidRPr="00D63482" w:rsidRDefault="00D63482" w:rsidP="00D63482">
      <w:pPr>
        <w:pStyle w:val="Prrafodelista"/>
        <w:rPr>
          <w:rFonts w:ascii="Century Gothic" w:eastAsia="ArialMT" w:hAnsi="Century Gothic" w:cs="ArialMT"/>
          <w:i/>
          <w:iCs/>
          <w:sz w:val="24"/>
          <w:szCs w:val="24"/>
        </w:rPr>
      </w:pPr>
      <w:bookmarkStart w:id="0" w:name="_GoBack"/>
      <w:bookmarkEnd w:id="0"/>
    </w:p>
    <w:p w:rsidR="00D63482" w:rsidRPr="00D63482" w:rsidRDefault="00D63482" w:rsidP="00D6348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MT" w:hAnsi="Century Gothic" w:cs="ArialMT"/>
          <w:i/>
          <w:iCs/>
          <w:sz w:val="24"/>
          <w:szCs w:val="24"/>
        </w:rPr>
      </w:pPr>
    </w:p>
    <w:sectPr w:rsidR="00D63482" w:rsidRPr="00D6348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4A9" w:rsidRDefault="007D74A9" w:rsidP="00A51F52">
      <w:pPr>
        <w:spacing w:after="0" w:line="240" w:lineRule="auto"/>
      </w:pPr>
      <w:r>
        <w:separator/>
      </w:r>
    </w:p>
  </w:endnote>
  <w:endnote w:type="continuationSeparator" w:id="0">
    <w:p w:rsidR="007D74A9" w:rsidRDefault="007D74A9" w:rsidP="00A5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ZurichBT-Roman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4A9" w:rsidRDefault="007D74A9" w:rsidP="00A51F52">
      <w:pPr>
        <w:spacing w:after="0" w:line="240" w:lineRule="auto"/>
      </w:pPr>
      <w:r>
        <w:separator/>
      </w:r>
    </w:p>
  </w:footnote>
  <w:footnote w:type="continuationSeparator" w:id="0">
    <w:p w:rsidR="007D74A9" w:rsidRDefault="007D74A9" w:rsidP="00A51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F52" w:rsidRPr="00A51F52" w:rsidRDefault="00A51F52" w:rsidP="00A51F52">
    <w:pPr>
      <w:shd w:val="clear" w:color="auto" w:fill="FFFFFF"/>
      <w:spacing w:after="90" w:line="240" w:lineRule="auto"/>
      <w:jc w:val="center"/>
      <w:outlineLvl w:val="2"/>
      <w:rPr>
        <w:rFonts w:ascii="Arial" w:eastAsia="Times New Roman" w:hAnsi="Arial" w:cs="Arial"/>
        <w:b/>
        <w:bCs/>
        <w:color w:val="323130"/>
        <w:sz w:val="27"/>
        <w:szCs w:val="27"/>
        <w:lang w:eastAsia="es-CO"/>
      </w:rPr>
    </w:pPr>
    <w:r>
      <w:rPr>
        <w:rFonts w:ascii="Arial" w:eastAsia="Times New Roman" w:hAnsi="Arial" w:cs="Arial"/>
        <w:b/>
        <w:bCs/>
        <w:color w:val="323130"/>
        <w:sz w:val="27"/>
        <w:szCs w:val="27"/>
        <w:lang w:eastAsia="es-CO"/>
      </w:rPr>
      <w:t>C</w:t>
    </w:r>
    <w:r w:rsidRPr="00A51F52">
      <w:rPr>
        <w:rFonts w:ascii="Arial" w:eastAsia="Times New Roman" w:hAnsi="Arial" w:cs="Arial"/>
        <w:b/>
        <w:bCs/>
        <w:color w:val="323130"/>
        <w:sz w:val="27"/>
        <w:szCs w:val="27"/>
        <w:lang w:eastAsia="es-CO"/>
      </w:rPr>
      <w:t>aracterización de las personas relacionadas con el tema de cultura en la localidad</w:t>
    </w:r>
  </w:p>
  <w:p w:rsidR="00A51F52" w:rsidRDefault="00A51F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58D0"/>
    <w:multiLevelType w:val="hybridMultilevel"/>
    <w:tmpl w:val="4798E2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1647E"/>
    <w:multiLevelType w:val="hybridMultilevel"/>
    <w:tmpl w:val="22E4C92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D37A6"/>
    <w:multiLevelType w:val="hybridMultilevel"/>
    <w:tmpl w:val="4798E2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13EAF"/>
    <w:multiLevelType w:val="hybridMultilevel"/>
    <w:tmpl w:val="6ED68C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52"/>
    <w:rsid w:val="002042E3"/>
    <w:rsid w:val="0044273F"/>
    <w:rsid w:val="006500CE"/>
    <w:rsid w:val="007D74A9"/>
    <w:rsid w:val="00A51F52"/>
    <w:rsid w:val="00D63482"/>
    <w:rsid w:val="00E33405"/>
    <w:rsid w:val="00F0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89CB"/>
  <w15:chartTrackingRefBased/>
  <w15:docId w15:val="{3A665CB5-FEAC-4CB6-A5D2-CFDAC7BF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1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1F52"/>
  </w:style>
  <w:style w:type="paragraph" w:styleId="Piedepgina">
    <w:name w:val="footer"/>
    <w:basedOn w:val="Normal"/>
    <w:link w:val="PiedepginaCar"/>
    <w:uiPriority w:val="99"/>
    <w:unhideWhenUsed/>
    <w:rsid w:val="00A51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F52"/>
  </w:style>
  <w:style w:type="paragraph" w:styleId="Prrafodelista">
    <w:name w:val="List Paragraph"/>
    <w:basedOn w:val="Normal"/>
    <w:uiPriority w:val="34"/>
    <w:qFormat/>
    <w:rsid w:val="00A51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Hernando Ernesto Gonzalez Atuesta</dc:creator>
  <cp:keywords/>
  <dc:description/>
  <cp:lastModifiedBy>Hernando Ernesto Gonzalez Atuesta</cp:lastModifiedBy>
  <cp:revision>2</cp:revision>
  <dcterms:created xsi:type="dcterms:W3CDTF">2020-12-22T18:26:00Z</dcterms:created>
  <dcterms:modified xsi:type="dcterms:W3CDTF">2020-12-22T18:26:00Z</dcterms:modified>
</cp:coreProperties>
</file>